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0BAACF02" w:rsidR="004D5C05" w:rsidRPr="00BD1C18" w:rsidRDefault="0037581E" w:rsidP="00F0240A">
      <w:pPr>
        <w:pStyle w:val="Heading1"/>
        <w:rPr>
          <w:rFonts w:ascii="Arial" w:hAnsi="Arial" w:cs="Arial"/>
          <w:b/>
          <w:bCs/>
          <w:color w:val="auto"/>
          <w:sz w:val="22"/>
          <w:szCs w:val="22"/>
        </w:rPr>
      </w:pPr>
      <w:r w:rsidRPr="00BD1C18">
        <w:rPr>
          <w:rFonts w:ascii="Arial" w:hAnsi="Arial" w:cs="Arial"/>
          <w:b/>
          <w:bCs/>
          <w:color w:val="auto"/>
          <w:sz w:val="22"/>
          <w:szCs w:val="22"/>
        </w:rPr>
        <w:t xml:space="preserve">Report of </w:t>
      </w:r>
      <w:r w:rsidR="00361D35" w:rsidRPr="00BD1C18">
        <w:rPr>
          <w:rFonts w:ascii="Arial" w:hAnsi="Arial" w:cs="Arial"/>
          <w:b/>
          <w:bCs/>
          <w:color w:val="auto"/>
          <w:sz w:val="22"/>
          <w:szCs w:val="22"/>
        </w:rPr>
        <w:t>the Governance Committee</w:t>
      </w:r>
    </w:p>
    <w:p w14:paraId="32D4469C" w14:textId="77777777" w:rsidR="00F0240A" w:rsidRPr="00BD1C18" w:rsidRDefault="00F0240A" w:rsidP="00F0240A">
      <w:pPr>
        <w:rPr>
          <w:rFonts w:ascii="Arial" w:hAnsi="Arial" w:cs="Arial"/>
        </w:rPr>
      </w:pPr>
    </w:p>
    <w:p w14:paraId="5433B1E2" w14:textId="352583AD" w:rsidR="0037581E" w:rsidRPr="00BD1C18" w:rsidRDefault="0037581E" w:rsidP="0037581E">
      <w:pPr>
        <w:pStyle w:val="ListParagraph"/>
        <w:numPr>
          <w:ilvl w:val="0"/>
          <w:numId w:val="1"/>
        </w:numPr>
        <w:rPr>
          <w:rFonts w:ascii="Arial" w:hAnsi="Arial" w:cs="Arial"/>
        </w:rPr>
      </w:pPr>
      <w:r w:rsidRPr="00BD1C18">
        <w:rPr>
          <w:rFonts w:ascii="Arial" w:hAnsi="Arial" w:cs="Arial"/>
        </w:rPr>
        <w:t xml:space="preserve">Any </w:t>
      </w:r>
      <w:r w:rsidR="00361D35" w:rsidRPr="00BD1C18">
        <w:rPr>
          <w:rFonts w:ascii="Arial" w:hAnsi="Arial" w:cs="Arial"/>
        </w:rPr>
        <w:t xml:space="preserve">Governance </w:t>
      </w:r>
      <w:r w:rsidRPr="00BD1C18">
        <w:rPr>
          <w:rFonts w:ascii="Arial" w:hAnsi="Arial" w:cs="Arial"/>
        </w:rPr>
        <w:t>recommendations on the reports that require a decision by full Council appear as separate items on the agenda.</w:t>
      </w:r>
    </w:p>
    <w:p w14:paraId="7B395179" w14:textId="77777777" w:rsidR="007E0075" w:rsidRPr="00BD1C18" w:rsidRDefault="007E0075" w:rsidP="007E0075">
      <w:pPr>
        <w:pStyle w:val="ListParagraph"/>
        <w:rPr>
          <w:rFonts w:ascii="Arial" w:hAnsi="Arial" w:cs="Arial"/>
        </w:rPr>
      </w:pPr>
    </w:p>
    <w:p w14:paraId="1BA62691" w14:textId="4F6CA681" w:rsidR="0079158F" w:rsidRPr="00BD1C18" w:rsidRDefault="0079158F" w:rsidP="0037581E">
      <w:pPr>
        <w:pStyle w:val="ListParagraph"/>
        <w:numPr>
          <w:ilvl w:val="0"/>
          <w:numId w:val="1"/>
        </w:numPr>
        <w:rPr>
          <w:rFonts w:ascii="Arial" w:hAnsi="Arial" w:cs="Arial"/>
        </w:rPr>
      </w:pPr>
      <w:r w:rsidRPr="00BD1C18">
        <w:rPr>
          <w:rFonts w:ascii="Arial" w:hAnsi="Arial" w:cs="Arial"/>
        </w:rPr>
        <w:t xml:space="preserve">Please note the following report may not reflect the wording used in the minutes, as they have yet to be </w:t>
      </w:r>
      <w:r w:rsidR="00413C91" w:rsidRPr="00BD1C18">
        <w:rPr>
          <w:rFonts w:ascii="Arial" w:hAnsi="Arial" w:cs="Arial"/>
        </w:rPr>
        <w:t xml:space="preserve">formally </w:t>
      </w:r>
      <w:r w:rsidRPr="00BD1C18">
        <w:rPr>
          <w:rFonts w:ascii="Arial" w:hAnsi="Arial" w:cs="Arial"/>
        </w:rPr>
        <w:t>agreed.</w:t>
      </w:r>
    </w:p>
    <w:p w14:paraId="19C0E605" w14:textId="5872825A" w:rsidR="004723F1" w:rsidRPr="00BD1C18" w:rsidRDefault="0037581E" w:rsidP="00F0240A">
      <w:pPr>
        <w:pStyle w:val="Heading2"/>
        <w:rPr>
          <w:sz w:val="22"/>
          <w:szCs w:val="22"/>
        </w:rPr>
      </w:pPr>
      <w:r w:rsidRPr="00BD1C18">
        <w:rPr>
          <w:sz w:val="22"/>
          <w:szCs w:val="22"/>
        </w:rPr>
        <w:t>G</w:t>
      </w:r>
      <w:r w:rsidR="00184AF7" w:rsidRPr="00BD1C18">
        <w:rPr>
          <w:sz w:val="22"/>
          <w:szCs w:val="22"/>
        </w:rPr>
        <w:t xml:space="preserve">eneral report of the meeting held on </w:t>
      </w:r>
      <w:r w:rsidR="00FE2FE8" w:rsidRPr="00BD1C18">
        <w:rPr>
          <w:sz w:val="22"/>
          <w:szCs w:val="22"/>
        </w:rPr>
        <w:t>23 M</w:t>
      </w:r>
      <w:r w:rsidR="00184AF7" w:rsidRPr="00BD1C18">
        <w:rPr>
          <w:sz w:val="22"/>
          <w:szCs w:val="22"/>
        </w:rPr>
        <w:t>arch</w:t>
      </w:r>
      <w:r w:rsidR="00FE2FE8" w:rsidRPr="00BD1C18">
        <w:rPr>
          <w:sz w:val="22"/>
          <w:szCs w:val="22"/>
        </w:rPr>
        <w:t xml:space="preserve"> </w:t>
      </w:r>
      <w:r w:rsidR="00F24EA4" w:rsidRPr="00BD1C18">
        <w:rPr>
          <w:sz w:val="22"/>
          <w:szCs w:val="22"/>
        </w:rPr>
        <w:t>2021</w:t>
      </w:r>
    </w:p>
    <w:p w14:paraId="0B1848B8" w14:textId="02373CEB" w:rsidR="00FE2FE8" w:rsidRPr="00BD1C18" w:rsidRDefault="00FE2FE8" w:rsidP="00F0240A">
      <w:pPr>
        <w:pStyle w:val="Heading2"/>
        <w:rPr>
          <w:sz w:val="22"/>
          <w:szCs w:val="22"/>
        </w:rPr>
      </w:pPr>
      <w:r w:rsidRPr="00BD1C18">
        <w:rPr>
          <w:sz w:val="22"/>
          <w:szCs w:val="22"/>
        </w:rPr>
        <w:t>Annual Governance Statement – Progress Report</w:t>
      </w:r>
    </w:p>
    <w:p w14:paraId="1C28B055" w14:textId="77777777" w:rsidR="00F0240A" w:rsidRPr="00BD1C18" w:rsidRDefault="00F0240A" w:rsidP="00F0240A">
      <w:pPr>
        <w:rPr>
          <w:rFonts w:ascii="Arial" w:hAnsi="Arial" w:cs="Arial"/>
          <w:lang w:eastAsia="en-GB"/>
        </w:rPr>
      </w:pPr>
    </w:p>
    <w:p w14:paraId="3403528C" w14:textId="2DBA2EFF" w:rsidR="00FE2FE8" w:rsidRPr="00BD1C18" w:rsidRDefault="00FE2FE8" w:rsidP="00F0240A">
      <w:pPr>
        <w:numPr>
          <w:ilvl w:val="0"/>
          <w:numId w:val="1"/>
        </w:numPr>
        <w:spacing w:after="0" w:line="240" w:lineRule="auto"/>
        <w:jc w:val="both"/>
        <w:rPr>
          <w:rFonts w:ascii="Arial" w:hAnsi="Arial" w:cs="Arial"/>
          <w:bCs/>
        </w:rPr>
      </w:pPr>
      <w:r w:rsidRPr="00BD1C18">
        <w:rPr>
          <w:rFonts w:ascii="Arial" w:eastAsia="Times New Roman" w:hAnsi="Arial" w:cs="Arial"/>
          <w:lang w:eastAsia="en-GB"/>
        </w:rPr>
        <w:t>The Director of Governance and Monitoring Officer presented a report updating members on the progress of the Annual Governance Statement Action Plan.</w:t>
      </w:r>
    </w:p>
    <w:p w14:paraId="5AA9AF79" w14:textId="77777777" w:rsidR="007E0075" w:rsidRPr="00BD1C18" w:rsidRDefault="007E0075" w:rsidP="007E0075">
      <w:pPr>
        <w:spacing w:after="0" w:line="240" w:lineRule="auto"/>
        <w:ind w:left="720"/>
        <w:jc w:val="both"/>
        <w:rPr>
          <w:rFonts w:ascii="Arial" w:hAnsi="Arial" w:cs="Arial"/>
          <w:bCs/>
        </w:rPr>
      </w:pPr>
    </w:p>
    <w:p w14:paraId="4E5E7E64" w14:textId="3ABD8FB2" w:rsidR="00FE2FE8" w:rsidRPr="00BD1C18" w:rsidRDefault="00FE2FE8" w:rsidP="00F0240A">
      <w:pPr>
        <w:numPr>
          <w:ilvl w:val="0"/>
          <w:numId w:val="1"/>
        </w:numPr>
        <w:spacing w:after="0" w:line="240" w:lineRule="auto"/>
        <w:jc w:val="both"/>
        <w:rPr>
          <w:rFonts w:ascii="Arial" w:hAnsi="Arial" w:cs="Arial"/>
          <w:bCs/>
        </w:rPr>
      </w:pPr>
      <w:r w:rsidRPr="00BD1C18">
        <w:rPr>
          <w:rFonts w:ascii="Arial" w:hAnsi="Arial" w:cs="Arial"/>
          <w:bCs/>
        </w:rPr>
        <w:t>The Annual Governance Statement for 2019/20 identified failings in the governance environment and the action plan proposed and adopted by members addresse</w:t>
      </w:r>
      <w:r w:rsidR="00B23A30" w:rsidRPr="00BD1C18">
        <w:rPr>
          <w:rFonts w:ascii="Arial" w:hAnsi="Arial" w:cs="Arial"/>
          <w:bCs/>
        </w:rPr>
        <w:t>d</w:t>
      </w:r>
      <w:r w:rsidRPr="00BD1C18">
        <w:rPr>
          <w:rFonts w:ascii="Arial" w:hAnsi="Arial" w:cs="Arial"/>
          <w:bCs/>
        </w:rPr>
        <w:t xml:space="preserve"> the issues raised. It was important therefore that members of th</w:t>
      </w:r>
      <w:r w:rsidR="00B23A30" w:rsidRPr="00BD1C18">
        <w:rPr>
          <w:rFonts w:ascii="Arial" w:hAnsi="Arial" w:cs="Arial"/>
          <w:bCs/>
        </w:rPr>
        <w:t>e</w:t>
      </w:r>
      <w:r w:rsidRPr="00BD1C18">
        <w:rPr>
          <w:rFonts w:ascii="Arial" w:hAnsi="Arial" w:cs="Arial"/>
          <w:bCs/>
        </w:rPr>
        <w:t xml:space="preserve"> Committee were aware of the progress of implementation to satisfy themselves that the issues </w:t>
      </w:r>
      <w:r w:rsidR="00B23A30" w:rsidRPr="00BD1C18">
        <w:rPr>
          <w:rFonts w:ascii="Arial" w:hAnsi="Arial" w:cs="Arial"/>
          <w:bCs/>
        </w:rPr>
        <w:t>we</w:t>
      </w:r>
      <w:r w:rsidRPr="00BD1C18">
        <w:rPr>
          <w:rFonts w:ascii="Arial" w:hAnsi="Arial" w:cs="Arial"/>
          <w:bCs/>
        </w:rPr>
        <w:t>re being resolved.</w:t>
      </w:r>
    </w:p>
    <w:p w14:paraId="153E783B" w14:textId="77777777" w:rsidR="007E0075" w:rsidRPr="00BD1C18" w:rsidRDefault="007E0075" w:rsidP="007E0075">
      <w:pPr>
        <w:spacing w:after="0" w:line="240" w:lineRule="auto"/>
        <w:jc w:val="both"/>
        <w:rPr>
          <w:rFonts w:ascii="Arial" w:hAnsi="Arial" w:cs="Arial"/>
          <w:bCs/>
        </w:rPr>
      </w:pPr>
    </w:p>
    <w:p w14:paraId="3AF97FBD" w14:textId="7D282804" w:rsidR="00FE2FE8" w:rsidRPr="00BD1C18" w:rsidRDefault="00FE2FE8" w:rsidP="00F0240A">
      <w:pPr>
        <w:numPr>
          <w:ilvl w:val="0"/>
          <w:numId w:val="1"/>
        </w:numPr>
        <w:spacing w:after="0" w:line="240" w:lineRule="auto"/>
        <w:jc w:val="both"/>
        <w:rPr>
          <w:rFonts w:ascii="Arial" w:hAnsi="Arial" w:cs="Arial"/>
          <w:bCs/>
        </w:rPr>
      </w:pPr>
      <w:r w:rsidRPr="00BD1C18">
        <w:rPr>
          <w:rFonts w:ascii="Arial" w:eastAsia="Times New Roman" w:hAnsi="Arial" w:cs="Arial"/>
          <w:lang w:eastAsia="en-GB"/>
        </w:rPr>
        <w:t>The Director of Governance and Monitoring Officer referred to the 3 outstanding actions in the report. He informed members that the actions at paragraphs 16 and 17 were now being progressed by the Service Lead for Audit and Risk and the action at paragraph 18 was to be presented to members at th</w:t>
      </w:r>
      <w:r w:rsidR="00122589" w:rsidRPr="00BD1C18">
        <w:rPr>
          <w:rFonts w:ascii="Arial" w:eastAsia="Times New Roman" w:hAnsi="Arial" w:cs="Arial"/>
          <w:lang w:eastAsia="en-GB"/>
        </w:rPr>
        <w:t>e</w:t>
      </w:r>
      <w:r w:rsidRPr="00BD1C18">
        <w:rPr>
          <w:rFonts w:ascii="Arial" w:eastAsia="Times New Roman" w:hAnsi="Arial" w:cs="Arial"/>
          <w:lang w:eastAsia="en-GB"/>
        </w:rPr>
        <w:t xml:space="preserve"> meeting. </w:t>
      </w:r>
    </w:p>
    <w:p w14:paraId="08940FAD" w14:textId="77777777" w:rsidR="007E0075" w:rsidRPr="00BD1C18" w:rsidRDefault="007E0075" w:rsidP="007E0075">
      <w:pPr>
        <w:spacing w:after="0" w:line="240" w:lineRule="auto"/>
        <w:jc w:val="both"/>
        <w:rPr>
          <w:rFonts w:ascii="Arial" w:hAnsi="Arial" w:cs="Arial"/>
          <w:bCs/>
        </w:rPr>
      </w:pPr>
    </w:p>
    <w:p w14:paraId="5B73530F" w14:textId="71539BE4" w:rsidR="00FE2FE8" w:rsidRPr="00BD1C18" w:rsidRDefault="00FE2FE8" w:rsidP="00F0240A">
      <w:pPr>
        <w:numPr>
          <w:ilvl w:val="0"/>
          <w:numId w:val="1"/>
        </w:numPr>
        <w:spacing w:after="0" w:line="240" w:lineRule="auto"/>
        <w:jc w:val="both"/>
        <w:rPr>
          <w:rFonts w:ascii="Arial" w:hAnsi="Arial" w:cs="Arial"/>
          <w:bCs/>
        </w:rPr>
      </w:pPr>
      <w:r w:rsidRPr="00BD1C18">
        <w:rPr>
          <w:rFonts w:ascii="Arial" w:eastAsia="Times New Roman" w:hAnsi="Arial" w:cs="Arial"/>
          <w:lang w:eastAsia="en-GB"/>
        </w:rPr>
        <w:t>It was confirmed to the meeting that it was not intended to report on progress against the plan to the meeting again as the outstanding actions would be reported to members on resolution.</w:t>
      </w:r>
    </w:p>
    <w:p w14:paraId="2F905D1C" w14:textId="77777777" w:rsidR="007E0075" w:rsidRPr="00BD1C18" w:rsidRDefault="007E0075" w:rsidP="007E0075">
      <w:pPr>
        <w:spacing w:after="0" w:line="240" w:lineRule="auto"/>
        <w:jc w:val="both"/>
        <w:rPr>
          <w:rFonts w:ascii="Arial" w:hAnsi="Arial" w:cs="Arial"/>
          <w:bCs/>
        </w:rPr>
      </w:pPr>
    </w:p>
    <w:p w14:paraId="1CC4C551" w14:textId="36A9AA21" w:rsidR="00FE2FE8" w:rsidRPr="00BD1C18" w:rsidRDefault="00FE2FE8" w:rsidP="00F0240A">
      <w:pPr>
        <w:numPr>
          <w:ilvl w:val="0"/>
          <w:numId w:val="1"/>
        </w:numPr>
        <w:spacing w:after="0" w:line="240" w:lineRule="auto"/>
        <w:jc w:val="both"/>
        <w:rPr>
          <w:rFonts w:ascii="Arial" w:hAnsi="Arial" w:cs="Arial"/>
          <w:bCs/>
        </w:rPr>
      </w:pPr>
      <w:r w:rsidRPr="00BD1C18">
        <w:rPr>
          <w:rFonts w:ascii="Arial" w:eastAsia="Times New Roman" w:hAnsi="Arial" w:cs="Arial"/>
          <w:lang w:eastAsia="en-GB"/>
        </w:rPr>
        <w:t>The Committee noted the progress and substantial completion of the action plan.</w:t>
      </w:r>
    </w:p>
    <w:p w14:paraId="165BA843" w14:textId="1EAA6A19" w:rsidR="00FE2FE8" w:rsidRPr="00BD1C18" w:rsidRDefault="00DE055E" w:rsidP="00F0240A">
      <w:pPr>
        <w:pStyle w:val="Heading2"/>
        <w:rPr>
          <w:rFonts w:eastAsia="Times New Roman"/>
          <w:sz w:val="22"/>
          <w:szCs w:val="22"/>
        </w:rPr>
      </w:pPr>
      <w:r w:rsidRPr="00BD1C18">
        <w:rPr>
          <w:rFonts w:eastAsia="Times New Roman"/>
          <w:sz w:val="22"/>
          <w:szCs w:val="22"/>
        </w:rPr>
        <w:t>Internal Audit Plan 2021 - 2022</w:t>
      </w:r>
    </w:p>
    <w:p w14:paraId="7C4D1F0A" w14:textId="77777777" w:rsidR="00FE2FE8" w:rsidRPr="00BD1C18" w:rsidRDefault="00FE2FE8" w:rsidP="00FE2FE8">
      <w:pPr>
        <w:spacing w:after="0" w:line="240" w:lineRule="auto"/>
        <w:rPr>
          <w:rFonts w:ascii="Arial" w:eastAsia="Times New Roman" w:hAnsi="Arial" w:cs="Arial"/>
          <w:b/>
          <w:lang w:eastAsia="en-GB"/>
        </w:rPr>
      </w:pPr>
    </w:p>
    <w:p w14:paraId="7AFDE0C2" w14:textId="2B68569F" w:rsidR="00122589" w:rsidRPr="00BD1C18" w:rsidRDefault="00122589" w:rsidP="00F0240A">
      <w:pPr>
        <w:pStyle w:val="ListParagraph"/>
        <w:numPr>
          <w:ilvl w:val="0"/>
          <w:numId w:val="1"/>
        </w:numPr>
        <w:spacing w:after="0" w:line="240" w:lineRule="auto"/>
        <w:rPr>
          <w:rFonts w:ascii="Arial" w:eastAsia="Times New Roman" w:hAnsi="Arial" w:cs="Arial"/>
          <w:lang w:eastAsia="en-GB"/>
        </w:rPr>
      </w:pPr>
      <w:r w:rsidRPr="00BD1C18">
        <w:rPr>
          <w:rFonts w:ascii="Arial" w:eastAsia="Times New Roman" w:hAnsi="Arial" w:cs="Arial"/>
          <w:lang w:eastAsia="en-GB"/>
        </w:rPr>
        <w:t xml:space="preserve">Shared Services Lead – Audit and Risk presented a report explaining the content of the Internal Audit work programme for the 2021- 2022 financial year which has been determined following a detailed risk assessment and consultation exercise. </w:t>
      </w:r>
    </w:p>
    <w:p w14:paraId="78A468A3" w14:textId="77777777" w:rsidR="00122589" w:rsidRPr="00BD1C18" w:rsidRDefault="00122589" w:rsidP="00122589">
      <w:pPr>
        <w:spacing w:after="0" w:line="240" w:lineRule="auto"/>
        <w:rPr>
          <w:rFonts w:ascii="Arial" w:eastAsia="Times New Roman" w:hAnsi="Arial" w:cs="Arial"/>
          <w:lang w:eastAsia="en-GB"/>
        </w:rPr>
      </w:pPr>
    </w:p>
    <w:p w14:paraId="564F2049" w14:textId="21C43DF5" w:rsidR="00122589" w:rsidRPr="00BD1C18" w:rsidRDefault="00122589" w:rsidP="00F0240A">
      <w:pPr>
        <w:pStyle w:val="ListParagraph"/>
        <w:numPr>
          <w:ilvl w:val="0"/>
          <w:numId w:val="1"/>
        </w:numPr>
        <w:spacing w:after="0" w:line="240" w:lineRule="auto"/>
        <w:rPr>
          <w:rFonts w:ascii="Arial" w:eastAsia="Times New Roman" w:hAnsi="Arial" w:cs="Arial"/>
          <w:lang w:eastAsia="en-GB"/>
        </w:rPr>
      </w:pPr>
      <w:r w:rsidRPr="00BD1C18">
        <w:rPr>
          <w:rFonts w:ascii="Arial" w:eastAsia="Times New Roman" w:hAnsi="Arial" w:cs="Arial"/>
          <w:lang w:eastAsia="en-GB"/>
        </w:rPr>
        <w:t xml:space="preserve">The report proposed that the progress reporting be moved to three times per annum i.e. September, January and the full Annual Report May/June. (It was noted that for the year 2020-21, due to the impact of COVID on internal audit work in 2019-20, an interim report will be provided on the progress of key quarter 1 reviews at the May 2021 meeting). </w:t>
      </w:r>
    </w:p>
    <w:p w14:paraId="34968017" w14:textId="77777777" w:rsidR="00122589" w:rsidRPr="00BD1C18" w:rsidRDefault="00122589" w:rsidP="00122589">
      <w:pPr>
        <w:spacing w:after="0" w:line="240" w:lineRule="auto"/>
        <w:rPr>
          <w:rFonts w:ascii="Arial" w:eastAsia="Times New Roman" w:hAnsi="Arial" w:cs="Arial"/>
          <w:lang w:eastAsia="en-GB"/>
        </w:rPr>
      </w:pPr>
    </w:p>
    <w:p w14:paraId="0CBCB798" w14:textId="3A14F032" w:rsidR="00122589" w:rsidRPr="00BD1C18" w:rsidRDefault="00184AF7" w:rsidP="00F0240A">
      <w:pPr>
        <w:pStyle w:val="ListParagraph"/>
        <w:numPr>
          <w:ilvl w:val="0"/>
          <w:numId w:val="1"/>
        </w:numPr>
        <w:spacing w:after="0" w:line="240" w:lineRule="auto"/>
        <w:rPr>
          <w:rFonts w:ascii="Arial" w:eastAsia="Times New Roman" w:hAnsi="Arial" w:cs="Arial"/>
          <w:lang w:eastAsia="en-GB"/>
        </w:rPr>
      </w:pPr>
      <w:r w:rsidRPr="00BD1C18">
        <w:rPr>
          <w:rFonts w:ascii="Arial" w:eastAsia="Times New Roman" w:hAnsi="Arial" w:cs="Arial"/>
          <w:lang w:eastAsia="en-GB"/>
        </w:rPr>
        <w:t>Regarding</w:t>
      </w:r>
      <w:r w:rsidR="00122589" w:rsidRPr="00BD1C18">
        <w:rPr>
          <w:rFonts w:ascii="Arial" w:eastAsia="Times New Roman" w:hAnsi="Arial" w:cs="Arial"/>
          <w:lang w:eastAsia="en-GB"/>
        </w:rPr>
        <w:t xml:space="preserve"> the gap between the Committee approving its Annual Plan in March and receiving its first progress report in September</w:t>
      </w:r>
      <w:r w:rsidRPr="00BD1C18">
        <w:rPr>
          <w:rFonts w:ascii="Arial" w:eastAsia="Times New Roman" w:hAnsi="Arial" w:cs="Arial"/>
          <w:lang w:eastAsia="en-GB"/>
        </w:rPr>
        <w:t>,</w:t>
      </w:r>
      <w:r w:rsidR="00122589" w:rsidRPr="00BD1C18">
        <w:rPr>
          <w:rFonts w:ascii="Arial" w:eastAsia="Times New Roman" w:hAnsi="Arial" w:cs="Arial"/>
          <w:lang w:eastAsia="en-GB"/>
        </w:rPr>
        <w:t xml:space="preserve"> </w:t>
      </w:r>
      <w:r w:rsidRPr="00BD1C18">
        <w:rPr>
          <w:rFonts w:ascii="Arial" w:eastAsia="Times New Roman" w:hAnsi="Arial" w:cs="Arial"/>
          <w:lang w:eastAsia="en-GB"/>
        </w:rPr>
        <w:t>m</w:t>
      </w:r>
      <w:r w:rsidR="00122589" w:rsidRPr="00BD1C18">
        <w:rPr>
          <w:rFonts w:ascii="Arial" w:eastAsia="Times New Roman" w:hAnsi="Arial" w:cs="Arial"/>
          <w:lang w:eastAsia="en-GB"/>
        </w:rPr>
        <w:t xml:space="preserve">embers of were assured that if any internal audit reviews were carried out during that </w:t>
      </w:r>
      <w:proofErr w:type="gramStart"/>
      <w:r w:rsidR="00122589" w:rsidRPr="00BD1C18">
        <w:rPr>
          <w:rFonts w:ascii="Arial" w:eastAsia="Times New Roman" w:hAnsi="Arial" w:cs="Arial"/>
          <w:lang w:eastAsia="en-GB"/>
        </w:rPr>
        <w:t>time</w:t>
      </w:r>
      <w:proofErr w:type="gramEnd"/>
      <w:r w:rsidR="00122589" w:rsidRPr="00BD1C18">
        <w:rPr>
          <w:rFonts w:ascii="Arial" w:eastAsia="Times New Roman" w:hAnsi="Arial" w:cs="Arial"/>
          <w:lang w:eastAsia="en-GB"/>
        </w:rPr>
        <w:t xml:space="preserve"> they would receive a copy of the report as soon as it was finalised so there would be no delay.</w:t>
      </w:r>
    </w:p>
    <w:p w14:paraId="3EDBEF67" w14:textId="77777777" w:rsidR="00122589" w:rsidRPr="00BD1C18" w:rsidRDefault="00122589" w:rsidP="00122589">
      <w:pPr>
        <w:spacing w:after="0" w:line="240" w:lineRule="auto"/>
        <w:rPr>
          <w:rFonts w:ascii="Arial" w:eastAsia="Times New Roman" w:hAnsi="Arial" w:cs="Arial"/>
          <w:lang w:eastAsia="en-GB"/>
        </w:rPr>
      </w:pPr>
    </w:p>
    <w:p w14:paraId="167C0A34" w14:textId="2F426E0E" w:rsidR="00122589" w:rsidRPr="00BD1C18" w:rsidRDefault="00122589" w:rsidP="00F0240A">
      <w:pPr>
        <w:pStyle w:val="ListParagraph"/>
        <w:numPr>
          <w:ilvl w:val="0"/>
          <w:numId w:val="1"/>
        </w:numPr>
        <w:spacing w:after="0" w:line="240" w:lineRule="auto"/>
        <w:rPr>
          <w:rFonts w:ascii="Arial" w:eastAsia="Times New Roman" w:hAnsi="Arial" w:cs="Arial"/>
          <w:lang w:eastAsia="en-GB"/>
        </w:rPr>
      </w:pPr>
      <w:r w:rsidRPr="00BD1C18">
        <w:rPr>
          <w:rFonts w:ascii="Arial" w:eastAsia="Times New Roman" w:hAnsi="Arial" w:cs="Arial"/>
          <w:lang w:eastAsia="en-GB"/>
        </w:rPr>
        <w:t>Arising from questions by a member, the following responses were provided:</w:t>
      </w:r>
    </w:p>
    <w:p w14:paraId="2FA020D1" w14:textId="77777777" w:rsidR="00122589" w:rsidRPr="00BD1C18" w:rsidRDefault="00122589" w:rsidP="00122589">
      <w:pPr>
        <w:spacing w:after="0" w:line="240" w:lineRule="auto"/>
        <w:rPr>
          <w:rFonts w:ascii="Arial" w:eastAsia="Times New Roman" w:hAnsi="Arial" w:cs="Arial"/>
          <w:lang w:eastAsia="en-GB"/>
        </w:rPr>
      </w:pPr>
    </w:p>
    <w:p w14:paraId="2D17C70C" w14:textId="77777777" w:rsidR="00122589" w:rsidRPr="00BD1C18" w:rsidRDefault="00122589" w:rsidP="00122589">
      <w:pPr>
        <w:numPr>
          <w:ilvl w:val="0"/>
          <w:numId w:val="10"/>
        </w:numPr>
        <w:spacing w:after="0" w:line="240" w:lineRule="auto"/>
        <w:contextualSpacing/>
        <w:rPr>
          <w:rFonts w:ascii="Arial" w:eastAsia="Times New Roman" w:hAnsi="Arial" w:cs="Arial"/>
          <w:lang w:eastAsia="en-GB"/>
        </w:rPr>
      </w:pPr>
      <w:r w:rsidRPr="00BD1C18">
        <w:rPr>
          <w:rFonts w:ascii="Arial" w:eastAsia="Times New Roman" w:hAnsi="Arial" w:cs="Arial"/>
          <w:lang w:eastAsia="en-GB"/>
        </w:rPr>
        <w:lastRenderedPageBreak/>
        <w:t xml:space="preserve">With regard to the planned audit in 2021-22 of Section 106 agreements, this is a </w:t>
      </w:r>
      <w:proofErr w:type="gramStart"/>
      <w:r w:rsidRPr="00BD1C18">
        <w:rPr>
          <w:rFonts w:ascii="Arial" w:eastAsia="Times New Roman" w:hAnsi="Arial" w:cs="Arial"/>
          <w:lang w:eastAsia="en-GB"/>
        </w:rPr>
        <w:t>risk based</w:t>
      </w:r>
      <w:proofErr w:type="gramEnd"/>
      <w:r w:rsidRPr="00BD1C18">
        <w:rPr>
          <w:rFonts w:ascii="Arial" w:eastAsia="Times New Roman" w:hAnsi="Arial" w:cs="Arial"/>
          <w:lang w:eastAsia="en-GB"/>
        </w:rPr>
        <w:t xml:space="preserve"> review and therefore will include the collection and spend of monies.</w:t>
      </w:r>
    </w:p>
    <w:p w14:paraId="043BD807" w14:textId="77777777" w:rsidR="00122589" w:rsidRPr="00BD1C18" w:rsidRDefault="00122589" w:rsidP="00122589">
      <w:pPr>
        <w:numPr>
          <w:ilvl w:val="0"/>
          <w:numId w:val="10"/>
        </w:numPr>
        <w:spacing w:after="0" w:line="240" w:lineRule="auto"/>
        <w:contextualSpacing/>
        <w:rPr>
          <w:rFonts w:ascii="Arial" w:eastAsia="Times New Roman" w:hAnsi="Arial" w:cs="Arial"/>
          <w:lang w:eastAsia="en-GB"/>
        </w:rPr>
      </w:pPr>
      <w:r w:rsidRPr="00BD1C18">
        <w:rPr>
          <w:rFonts w:ascii="Arial" w:eastAsia="Times New Roman" w:hAnsi="Arial" w:cs="Arial"/>
          <w:lang w:eastAsia="en-GB"/>
        </w:rPr>
        <w:t>Reference was made to the Internal Audit Team resources and the Internal Audit Plan 2021/22 which is based on 499 audit days. The internal audit team is now fully resourced with 4 full time staff members, and we will be buying in an additional 2 members and IT resource. It has been possible to buy in an additional 25 audit days.</w:t>
      </w:r>
    </w:p>
    <w:p w14:paraId="06DB2EA8" w14:textId="77777777" w:rsidR="00122589" w:rsidRPr="00BD1C18" w:rsidRDefault="00122589" w:rsidP="00122589">
      <w:pPr>
        <w:numPr>
          <w:ilvl w:val="0"/>
          <w:numId w:val="10"/>
        </w:numPr>
        <w:spacing w:after="0" w:line="240" w:lineRule="auto"/>
        <w:contextualSpacing/>
        <w:rPr>
          <w:rFonts w:ascii="Arial" w:eastAsia="Times New Roman" w:hAnsi="Arial" w:cs="Arial"/>
          <w:lang w:eastAsia="en-GB"/>
        </w:rPr>
      </w:pPr>
      <w:proofErr w:type="gramStart"/>
      <w:r w:rsidRPr="00BD1C18">
        <w:rPr>
          <w:rFonts w:ascii="Arial" w:eastAsia="Times New Roman" w:hAnsi="Arial" w:cs="Arial"/>
          <w:lang w:eastAsia="en-GB"/>
        </w:rPr>
        <w:t>With regard to</w:t>
      </w:r>
      <w:proofErr w:type="gramEnd"/>
      <w:r w:rsidRPr="00BD1C18">
        <w:rPr>
          <w:rFonts w:ascii="Arial" w:eastAsia="Times New Roman" w:hAnsi="Arial" w:cs="Arial"/>
          <w:lang w:eastAsia="en-GB"/>
        </w:rPr>
        <w:t xml:space="preserve"> performance indicator targets, it is not always possible to achieve 100% management actions due to factors such as varying circumstances and changes to systems and processes. Therefore, the current target is 90%.</w:t>
      </w:r>
    </w:p>
    <w:p w14:paraId="30139B17" w14:textId="77777777" w:rsidR="00184AF7" w:rsidRPr="00BD1C18" w:rsidRDefault="00184AF7" w:rsidP="00184AF7">
      <w:pPr>
        <w:spacing w:after="0" w:line="240" w:lineRule="auto"/>
        <w:contextualSpacing/>
        <w:rPr>
          <w:rFonts w:ascii="Arial" w:eastAsia="Times New Roman" w:hAnsi="Arial" w:cs="Arial"/>
          <w:lang w:eastAsia="en-GB"/>
        </w:rPr>
      </w:pPr>
    </w:p>
    <w:p w14:paraId="296FD3EC" w14:textId="77777777" w:rsidR="00184AF7" w:rsidRPr="00BD1C18" w:rsidRDefault="00184AF7" w:rsidP="00F0240A">
      <w:pPr>
        <w:pStyle w:val="ListParagraph"/>
        <w:numPr>
          <w:ilvl w:val="0"/>
          <w:numId w:val="1"/>
        </w:numPr>
        <w:spacing w:after="0" w:line="240" w:lineRule="auto"/>
        <w:rPr>
          <w:rFonts w:ascii="Arial" w:eastAsia="Times New Roman" w:hAnsi="Arial" w:cs="Arial"/>
          <w:lang w:eastAsia="en-GB"/>
        </w:rPr>
      </w:pPr>
      <w:r w:rsidRPr="00BD1C18">
        <w:rPr>
          <w:rFonts w:ascii="Arial" w:eastAsia="Times New Roman" w:hAnsi="Arial" w:cs="Arial"/>
          <w:lang w:eastAsia="en-GB"/>
        </w:rPr>
        <w:t xml:space="preserve"> The Committee made the following decisions:</w:t>
      </w:r>
    </w:p>
    <w:p w14:paraId="1354D49E" w14:textId="7DEA87FC" w:rsidR="00184AF7" w:rsidRPr="00BD1C18" w:rsidRDefault="00184AF7" w:rsidP="00184AF7">
      <w:pPr>
        <w:pStyle w:val="ListParagraph"/>
        <w:spacing w:after="0" w:line="240" w:lineRule="auto"/>
        <w:rPr>
          <w:rFonts w:ascii="Arial" w:eastAsia="Times New Roman" w:hAnsi="Arial" w:cs="Arial"/>
          <w:lang w:eastAsia="en-GB"/>
        </w:rPr>
      </w:pPr>
      <w:r w:rsidRPr="00BD1C18">
        <w:rPr>
          <w:rFonts w:ascii="Arial" w:eastAsia="Times New Roman" w:hAnsi="Arial" w:cs="Arial"/>
          <w:lang w:eastAsia="en-GB"/>
        </w:rPr>
        <w:t xml:space="preserve"> </w:t>
      </w:r>
    </w:p>
    <w:p w14:paraId="2B6DE4A8" w14:textId="2C42B56F" w:rsidR="00122589" w:rsidRPr="00BD1C18" w:rsidRDefault="00122589" w:rsidP="00184AF7">
      <w:pPr>
        <w:pStyle w:val="ListParagraph"/>
        <w:numPr>
          <w:ilvl w:val="0"/>
          <w:numId w:val="12"/>
        </w:numPr>
        <w:spacing w:after="0" w:line="240" w:lineRule="auto"/>
        <w:rPr>
          <w:rFonts w:ascii="Arial" w:eastAsia="Times New Roman" w:hAnsi="Arial" w:cs="Arial"/>
          <w:lang w:eastAsia="en-GB"/>
        </w:rPr>
      </w:pPr>
      <w:r w:rsidRPr="00BD1C18">
        <w:rPr>
          <w:rFonts w:ascii="Arial" w:eastAsia="Times New Roman" w:hAnsi="Arial" w:cs="Arial"/>
          <w:lang w:eastAsia="en-GB"/>
        </w:rPr>
        <w:t>That the Committee approve</w:t>
      </w:r>
      <w:r w:rsidR="00184AF7" w:rsidRPr="00BD1C18">
        <w:rPr>
          <w:rFonts w:ascii="Arial" w:eastAsia="Times New Roman" w:hAnsi="Arial" w:cs="Arial"/>
          <w:lang w:eastAsia="en-GB"/>
        </w:rPr>
        <w:t xml:space="preserve">s </w:t>
      </w:r>
      <w:r w:rsidRPr="00BD1C18">
        <w:rPr>
          <w:rFonts w:ascii="Arial" w:eastAsia="Times New Roman" w:hAnsi="Arial" w:cs="Arial"/>
          <w:lang w:eastAsia="en-GB"/>
        </w:rPr>
        <w:t>the 2021 – 2022 – Internal Audit Plan and associated indicators.</w:t>
      </w:r>
    </w:p>
    <w:p w14:paraId="31E9D254" w14:textId="5797C182" w:rsidR="00122589" w:rsidRPr="00BD1C18" w:rsidRDefault="00122589" w:rsidP="00184AF7">
      <w:pPr>
        <w:pStyle w:val="ListParagraph"/>
        <w:numPr>
          <w:ilvl w:val="0"/>
          <w:numId w:val="12"/>
        </w:numPr>
        <w:spacing w:after="0" w:line="240" w:lineRule="auto"/>
        <w:rPr>
          <w:rFonts w:ascii="Arial" w:eastAsia="Times New Roman" w:hAnsi="Arial" w:cs="Arial"/>
          <w:lang w:eastAsia="en-GB"/>
        </w:rPr>
      </w:pPr>
      <w:r w:rsidRPr="00BD1C18">
        <w:rPr>
          <w:rFonts w:ascii="Arial" w:eastAsia="Times New Roman" w:hAnsi="Arial" w:cs="Arial"/>
          <w:lang w:eastAsia="en-GB"/>
        </w:rPr>
        <w:t>That the Committee approves the Internal Audit Charter.</w:t>
      </w:r>
    </w:p>
    <w:p w14:paraId="18B15FB0" w14:textId="46351399" w:rsidR="00F24EA4" w:rsidRPr="00BD1C18" w:rsidRDefault="00F24EA4" w:rsidP="00122589">
      <w:pPr>
        <w:ind w:left="360"/>
        <w:rPr>
          <w:rFonts w:ascii="Arial" w:hAnsi="Arial" w:cs="Arial"/>
          <w:b/>
        </w:rPr>
      </w:pPr>
    </w:p>
    <w:p w14:paraId="4D5A07C2" w14:textId="60015FC2" w:rsidR="0079158F" w:rsidRPr="00BD1C18" w:rsidRDefault="00122589" w:rsidP="00F0240A">
      <w:pPr>
        <w:pStyle w:val="Heading2"/>
        <w:rPr>
          <w:sz w:val="22"/>
          <w:szCs w:val="22"/>
        </w:rPr>
      </w:pPr>
      <w:r w:rsidRPr="00BD1C18">
        <w:rPr>
          <w:sz w:val="22"/>
          <w:szCs w:val="22"/>
        </w:rPr>
        <w:t xml:space="preserve">Key Contracts and Partnerships Framework </w:t>
      </w:r>
      <w:r w:rsidR="00184AF7" w:rsidRPr="00BD1C18">
        <w:rPr>
          <w:sz w:val="22"/>
          <w:szCs w:val="22"/>
        </w:rPr>
        <w:t>–</w:t>
      </w:r>
      <w:r w:rsidRPr="00BD1C18">
        <w:rPr>
          <w:sz w:val="22"/>
          <w:szCs w:val="22"/>
        </w:rPr>
        <w:t xml:space="preserve"> approach</w:t>
      </w:r>
    </w:p>
    <w:p w14:paraId="2FC36CC5" w14:textId="77777777" w:rsidR="00F0240A" w:rsidRPr="00BD1C18" w:rsidRDefault="00F0240A" w:rsidP="00F0240A">
      <w:pPr>
        <w:rPr>
          <w:rFonts w:ascii="Arial" w:hAnsi="Arial" w:cs="Arial"/>
          <w:lang w:eastAsia="en-GB"/>
        </w:rPr>
      </w:pPr>
    </w:p>
    <w:p w14:paraId="52DCF841" w14:textId="5972B02D" w:rsidR="00DF65BA" w:rsidRPr="00BD1C18" w:rsidRDefault="00DF65BA" w:rsidP="00F0240A">
      <w:pPr>
        <w:pStyle w:val="ListParagraph"/>
        <w:numPr>
          <w:ilvl w:val="0"/>
          <w:numId w:val="1"/>
        </w:numPr>
        <w:spacing w:after="0" w:line="240" w:lineRule="auto"/>
        <w:rPr>
          <w:rFonts w:ascii="Arial" w:eastAsia="Times New Roman" w:hAnsi="Arial" w:cs="Arial"/>
          <w:lang w:eastAsia="en-GB"/>
        </w:rPr>
      </w:pPr>
      <w:r w:rsidRPr="00BD1C18">
        <w:rPr>
          <w:rFonts w:ascii="Arial" w:eastAsia="Times New Roman" w:hAnsi="Arial" w:cs="Arial"/>
          <w:lang w:eastAsia="en-GB"/>
        </w:rPr>
        <w:t>The Transformation and Change Team Leader presented a report outlining a proposed approach for the development of the Key Contracts and Partnerships Framework and the next steps.</w:t>
      </w:r>
    </w:p>
    <w:p w14:paraId="67FBE389" w14:textId="1B1A1B96" w:rsidR="00B831CA" w:rsidRPr="00BD1C18" w:rsidRDefault="00B831CA" w:rsidP="00B831CA">
      <w:pPr>
        <w:spacing w:after="0" w:line="240" w:lineRule="auto"/>
        <w:ind w:left="360"/>
        <w:rPr>
          <w:rFonts w:ascii="Arial" w:eastAsia="Times New Roman" w:hAnsi="Arial" w:cs="Arial"/>
          <w:lang w:eastAsia="en-GB"/>
        </w:rPr>
      </w:pPr>
    </w:p>
    <w:p w14:paraId="53A10E93" w14:textId="7895B72B" w:rsidR="00B831CA" w:rsidRPr="00BD1C18" w:rsidRDefault="00B831CA" w:rsidP="00F0240A">
      <w:pPr>
        <w:pStyle w:val="ListParagraph"/>
        <w:numPr>
          <w:ilvl w:val="0"/>
          <w:numId w:val="1"/>
        </w:numPr>
        <w:spacing w:after="0" w:line="240" w:lineRule="auto"/>
        <w:rPr>
          <w:rFonts w:ascii="Arial" w:eastAsia="Times New Roman" w:hAnsi="Arial" w:cs="Arial"/>
          <w:lang w:eastAsia="en-GB"/>
        </w:rPr>
      </w:pPr>
      <w:r w:rsidRPr="00BD1C18">
        <w:rPr>
          <w:rFonts w:ascii="Arial" w:hAnsi="Arial" w:cs="Arial"/>
          <w:bCs/>
          <w:iCs/>
        </w:rPr>
        <w:t xml:space="preserve">As part of the South Ribble Annual Governance Statement there </w:t>
      </w:r>
      <w:r w:rsidR="004453C7" w:rsidRPr="00BD1C18">
        <w:rPr>
          <w:rFonts w:ascii="Arial" w:hAnsi="Arial" w:cs="Arial"/>
          <w:bCs/>
          <w:iCs/>
        </w:rPr>
        <w:t>i</w:t>
      </w:r>
      <w:r w:rsidRPr="00BD1C18">
        <w:rPr>
          <w:rFonts w:ascii="Arial" w:hAnsi="Arial" w:cs="Arial"/>
          <w:bCs/>
          <w:iCs/>
        </w:rPr>
        <w:t>s an action to develop a Key Contracts and Partnerships Framework.  The recommended approach will ensure a fit for purpose, robust and streamlined framework to monitor and performance manage key contracts and partnerships</w:t>
      </w:r>
    </w:p>
    <w:p w14:paraId="022CB0F4" w14:textId="77777777" w:rsidR="00DF65BA" w:rsidRPr="00BD1C18" w:rsidRDefault="00DF65BA" w:rsidP="00DF65BA">
      <w:pPr>
        <w:spacing w:after="0" w:line="240" w:lineRule="auto"/>
        <w:rPr>
          <w:rFonts w:ascii="Arial" w:eastAsia="Times New Roman" w:hAnsi="Arial" w:cs="Arial"/>
          <w:lang w:eastAsia="en-GB"/>
        </w:rPr>
      </w:pPr>
    </w:p>
    <w:p w14:paraId="078D443B" w14:textId="67947036" w:rsidR="00DF65BA" w:rsidRPr="00BD1C18" w:rsidRDefault="00DF65BA" w:rsidP="00F0240A">
      <w:pPr>
        <w:pStyle w:val="ListParagraph"/>
        <w:numPr>
          <w:ilvl w:val="0"/>
          <w:numId w:val="1"/>
        </w:numPr>
        <w:spacing w:after="0" w:line="240" w:lineRule="auto"/>
        <w:rPr>
          <w:rFonts w:ascii="Arial" w:eastAsia="Times New Roman" w:hAnsi="Arial" w:cs="Arial"/>
          <w:lang w:eastAsia="en-GB"/>
        </w:rPr>
      </w:pPr>
      <w:r w:rsidRPr="00BD1C18">
        <w:rPr>
          <w:rFonts w:ascii="Arial" w:eastAsia="Times New Roman" w:hAnsi="Arial" w:cs="Arial"/>
          <w:lang w:eastAsia="en-GB"/>
        </w:rPr>
        <w:t>Arising from questions from members, the following responses were given:</w:t>
      </w:r>
    </w:p>
    <w:p w14:paraId="517F38C4" w14:textId="77777777" w:rsidR="00DF65BA" w:rsidRPr="00BD1C18" w:rsidRDefault="00DF65BA" w:rsidP="00DF65BA">
      <w:pPr>
        <w:spacing w:after="0" w:line="240" w:lineRule="auto"/>
        <w:rPr>
          <w:rFonts w:ascii="Arial" w:eastAsia="Times New Roman" w:hAnsi="Arial" w:cs="Arial"/>
          <w:lang w:eastAsia="en-GB"/>
        </w:rPr>
      </w:pPr>
    </w:p>
    <w:p w14:paraId="18B1A3EB" w14:textId="77777777" w:rsidR="00DF65BA" w:rsidRPr="00BD1C18" w:rsidRDefault="00DF65BA" w:rsidP="00DF65BA">
      <w:pPr>
        <w:numPr>
          <w:ilvl w:val="0"/>
          <w:numId w:val="13"/>
        </w:numPr>
        <w:spacing w:after="0" w:line="240" w:lineRule="auto"/>
        <w:contextualSpacing/>
        <w:rPr>
          <w:rFonts w:ascii="Arial" w:eastAsia="Times New Roman" w:hAnsi="Arial" w:cs="Arial"/>
          <w:lang w:eastAsia="en-GB"/>
        </w:rPr>
      </w:pPr>
      <w:r w:rsidRPr="00BD1C18">
        <w:rPr>
          <w:rFonts w:ascii="Arial" w:eastAsia="Times New Roman" w:hAnsi="Arial" w:cs="Arial"/>
          <w:lang w:eastAsia="en-GB"/>
        </w:rPr>
        <w:t>A Register of Council Key Contracts is available and published in line with legislation</w:t>
      </w:r>
    </w:p>
    <w:p w14:paraId="71EA2810" w14:textId="77777777" w:rsidR="00DF65BA" w:rsidRPr="00BD1C18" w:rsidRDefault="00DF65BA" w:rsidP="00DF65BA">
      <w:pPr>
        <w:numPr>
          <w:ilvl w:val="0"/>
          <w:numId w:val="13"/>
        </w:numPr>
        <w:spacing w:after="0" w:line="240" w:lineRule="auto"/>
        <w:contextualSpacing/>
        <w:rPr>
          <w:rFonts w:ascii="Arial" w:eastAsia="Times New Roman" w:hAnsi="Arial" w:cs="Arial"/>
          <w:lang w:eastAsia="en-GB"/>
        </w:rPr>
      </w:pPr>
      <w:r w:rsidRPr="00BD1C18">
        <w:rPr>
          <w:rFonts w:ascii="Arial" w:eastAsia="Times New Roman" w:hAnsi="Arial" w:cs="Arial"/>
          <w:lang w:eastAsia="en-GB"/>
        </w:rPr>
        <w:t>Agreement to include in the list of proposed key contracts and partnerships any movement of monies / expected receipt of monies arising from the City Deal Partnership e.g. CIL, New Homes Bonus</w:t>
      </w:r>
    </w:p>
    <w:p w14:paraId="3F0FE8C5" w14:textId="77777777" w:rsidR="00DF65BA" w:rsidRPr="00BD1C18" w:rsidRDefault="00DF65BA" w:rsidP="00DF65BA">
      <w:pPr>
        <w:numPr>
          <w:ilvl w:val="0"/>
          <w:numId w:val="13"/>
        </w:numPr>
        <w:spacing w:after="0" w:line="240" w:lineRule="auto"/>
        <w:contextualSpacing/>
        <w:rPr>
          <w:rFonts w:ascii="Arial" w:eastAsia="Times New Roman" w:hAnsi="Arial" w:cs="Arial"/>
          <w:lang w:eastAsia="en-GB"/>
        </w:rPr>
      </w:pPr>
      <w:r w:rsidRPr="00BD1C18">
        <w:rPr>
          <w:rFonts w:ascii="Arial" w:eastAsia="Times New Roman" w:hAnsi="Arial" w:cs="Arial"/>
          <w:lang w:eastAsia="en-GB"/>
        </w:rPr>
        <w:t>Some high value contracts (e.g. McKenzie Arms, Worden Hall) are not included. This is because the Framework is based on the range of considerations listed at paragraph 7 such as reliance on the proposed partner to deliver core services.</w:t>
      </w:r>
    </w:p>
    <w:p w14:paraId="3392DA42" w14:textId="10C6DE51" w:rsidR="00DF65BA" w:rsidRPr="00BD1C18" w:rsidRDefault="00DF65BA" w:rsidP="00F0240A">
      <w:pPr>
        <w:pStyle w:val="ListParagraph"/>
        <w:numPr>
          <w:ilvl w:val="0"/>
          <w:numId w:val="1"/>
        </w:numPr>
        <w:spacing w:before="100" w:beforeAutospacing="1" w:after="100" w:afterAutospacing="1" w:line="240" w:lineRule="auto"/>
        <w:outlineLvl w:val="1"/>
        <w:rPr>
          <w:rFonts w:ascii="Arial" w:eastAsiaTheme="minorEastAsia" w:hAnsi="Arial" w:cs="Arial"/>
          <w:iCs/>
          <w:lang w:eastAsia="en-GB"/>
        </w:rPr>
      </w:pPr>
      <w:r w:rsidRPr="00BD1C18">
        <w:rPr>
          <w:rFonts w:ascii="Arial" w:eastAsiaTheme="minorEastAsia" w:hAnsi="Arial" w:cs="Arial"/>
          <w:iCs/>
          <w:lang w:eastAsia="en-GB"/>
        </w:rPr>
        <w:t>The Committee made the following decision:</w:t>
      </w:r>
    </w:p>
    <w:p w14:paraId="224A4201" w14:textId="40DA73F1" w:rsidR="00B831CA" w:rsidRPr="00BD1C18" w:rsidRDefault="00DF65BA" w:rsidP="001142CE">
      <w:pPr>
        <w:spacing w:before="100" w:beforeAutospacing="1" w:after="100" w:afterAutospacing="1" w:line="240" w:lineRule="auto"/>
        <w:ind w:left="360"/>
        <w:outlineLvl w:val="1"/>
        <w:rPr>
          <w:rFonts w:ascii="Arial" w:eastAsia="Times New Roman" w:hAnsi="Arial" w:cs="Arial"/>
          <w:bCs/>
          <w:iCs/>
          <w:lang w:eastAsia="en-GB"/>
        </w:rPr>
      </w:pPr>
      <w:r w:rsidRPr="00BD1C18">
        <w:rPr>
          <w:rFonts w:ascii="Arial" w:eastAsiaTheme="minorEastAsia" w:hAnsi="Arial" w:cs="Arial"/>
          <w:iCs/>
          <w:lang w:eastAsia="en-GB"/>
        </w:rPr>
        <w:t xml:space="preserve">That, subject to the inclusion of information specified at point 2) above, the approach for the development of the Key Contracts and Partnerships Framework and next steps be approved. </w:t>
      </w:r>
    </w:p>
    <w:p w14:paraId="2F278291" w14:textId="0A8F91D6" w:rsidR="00B831CA" w:rsidRPr="00BD1C18" w:rsidRDefault="00B831CA" w:rsidP="001142CE">
      <w:pPr>
        <w:adjustRightInd w:val="0"/>
        <w:spacing w:line="252" w:lineRule="auto"/>
        <w:ind w:left="720"/>
        <w:contextualSpacing/>
        <w:rPr>
          <w:rFonts w:ascii="Arial" w:hAnsi="Arial" w:cs="Arial"/>
          <w:bCs/>
          <w:iCs/>
        </w:rPr>
      </w:pPr>
    </w:p>
    <w:p w14:paraId="44DB4018" w14:textId="5ED56D50" w:rsidR="000C6C1D" w:rsidRPr="00BD1C18" w:rsidRDefault="00E02C4E" w:rsidP="00F0240A">
      <w:pPr>
        <w:pStyle w:val="Heading2"/>
        <w:rPr>
          <w:sz w:val="22"/>
          <w:szCs w:val="22"/>
        </w:rPr>
      </w:pPr>
      <w:bookmarkStart w:id="0" w:name="_GoBack"/>
      <w:bookmarkEnd w:id="0"/>
      <w:r w:rsidRPr="00BD1C18">
        <w:rPr>
          <w:sz w:val="22"/>
          <w:szCs w:val="22"/>
        </w:rPr>
        <w:t>Risk Management Strategy</w:t>
      </w:r>
    </w:p>
    <w:p w14:paraId="3CCF88A1" w14:textId="77777777" w:rsidR="00F0240A" w:rsidRPr="00BD1C18" w:rsidRDefault="00F0240A" w:rsidP="00F0240A">
      <w:pPr>
        <w:rPr>
          <w:rFonts w:ascii="Arial" w:hAnsi="Arial" w:cs="Arial"/>
          <w:lang w:eastAsia="en-GB"/>
        </w:rPr>
      </w:pPr>
    </w:p>
    <w:p w14:paraId="4E8922C0" w14:textId="581D6A34" w:rsidR="00E02C4E" w:rsidRPr="00BD1C18" w:rsidRDefault="00E02C4E" w:rsidP="00F0240A">
      <w:pPr>
        <w:pStyle w:val="ListParagraph"/>
        <w:numPr>
          <w:ilvl w:val="0"/>
          <w:numId w:val="1"/>
        </w:numPr>
        <w:spacing w:after="0" w:line="240" w:lineRule="auto"/>
        <w:rPr>
          <w:rFonts w:ascii="Arial" w:eastAsia="Times New Roman" w:hAnsi="Arial" w:cs="Arial"/>
          <w:lang w:eastAsia="en-GB"/>
        </w:rPr>
      </w:pPr>
      <w:r w:rsidRPr="00BD1C18">
        <w:rPr>
          <w:rFonts w:ascii="Arial" w:eastAsia="Times New Roman" w:hAnsi="Arial" w:cs="Arial"/>
          <w:lang w:eastAsia="en-GB"/>
        </w:rPr>
        <w:t>The Shared Services Lead – Audit and Risk presented a report concerning the Risk Management Strategy, which was last updated and presented to the Audit Committee in April 2018. The report indicated that the Strategy had now been reviewed and updated and demonstrated how the Council was seeking to ensure that the management of risk becomes embedded and at the centre of its’ day to day work.</w:t>
      </w:r>
    </w:p>
    <w:p w14:paraId="7E07074C" w14:textId="77777777" w:rsidR="00E02C4E" w:rsidRPr="00BD1C18" w:rsidRDefault="00E02C4E" w:rsidP="00E02C4E">
      <w:pPr>
        <w:spacing w:after="0" w:line="240" w:lineRule="auto"/>
        <w:rPr>
          <w:rFonts w:ascii="Arial" w:eastAsia="Times New Roman" w:hAnsi="Arial" w:cs="Arial"/>
          <w:lang w:eastAsia="en-GB"/>
        </w:rPr>
      </w:pPr>
    </w:p>
    <w:p w14:paraId="6EAFEFDC" w14:textId="389CC5AF" w:rsidR="00E02C4E" w:rsidRPr="00BD1C18" w:rsidRDefault="00E02C4E" w:rsidP="00F0240A">
      <w:pPr>
        <w:pStyle w:val="ListParagraph"/>
        <w:numPr>
          <w:ilvl w:val="0"/>
          <w:numId w:val="1"/>
        </w:numPr>
        <w:spacing w:after="0" w:line="240" w:lineRule="auto"/>
        <w:rPr>
          <w:rFonts w:ascii="Arial" w:eastAsia="Times New Roman" w:hAnsi="Arial" w:cs="Arial"/>
          <w:lang w:eastAsia="en-GB"/>
        </w:rPr>
      </w:pPr>
      <w:r w:rsidRPr="00BD1C18">
        <w:rPr>
          <w:rFonts w:ascii="Arial" w:eastAsia="Times New Roman" w:hAnsi="Arial" w:cs="Arial"/>
          <w:lang w:eastAsia="en-GB"/>
        </w:rPr>
        <w:t>Arising from questions from members, the following responses were given:</w:t>
      </w:r>
    </w:p>
    <w:p w14:paraId="6E91B17F" w14:textId="77777777" w:rsidR="00E02C4E" w:rsidRPr="00BD1C18" w:rsidRDefault="00E02C4E" w:rsidP="00E02C4E">
      <w:pPr>
        <w:spacing w:after="0" w:line="240" w:lineRule="auto"/>
        <w:rPr>
          <w:rFonts w:ascii="Arial" w:eastAsia="Times New Roman" w:hAnsi="Arial" w:cs="Arial"/>
          <w:lang w:eastAsia="en-GB"/>
        </w:rPr>
      </w:pPr>
    </w:p>
    <w:p w14:paraId="66534899" w14:textId="77777777" w:rsidR="00E02C4E" w:rsidRPr="00BD1C18" w:rsidRDefault="00E02C4E" w:rsidP="00E02C4E">
      <w:pPr>
        <w:numPr>
          <w:ilvl w:val="0"/>
          <w:numId w:val="17"/>
        </w:numPr>
        <w:spacing w:after="0" w:line="240" w:lineRule="auto"/>
        <w:contextualSpacing/>
        <w:rPr>
          <w:rFonts w:ascii="Arial" w:eastAsia="Times New Roman" w:hAnsi="Arial" w:cs="Arial"/>
          <w:lang w:eastAsia="en-GB"/>
        </w:rPr>
      </w:pPr>
      <w:r w:rsidRPr="00BD1C18">
        <w:rPr>
          <w:rFonts w:ascii="Arial" w:eastAsia="Times New Roman" w:hAnsi="Arial" w:cs="Arial"/>
          <w:lang w:eastAsia="en-GB"/>
        </w:rPr>
        <w:t>An online Member briefing session explaining the GRACE system will be arranged</w:t>
      </w:r>
    </w:p>
    <w:p w14:paraId="24151257" w14:textId="77777777" w:rsidR="00E02C4E" w:rsidRPr="00BD1C18" w:rsidRDefault="00E02C4E" w:rsidP="00E02C4E">
      <w:pPr>
        <w:numPr>
          <w:ilvl w:val="0"/>
          <w:numId w:val="17"/>
        </w:numPr>
        <w:spacing w:after="0" w:line="240" w:lineRule="auto"/>
        <w:contextualSpacing/>
        <w:rPr>
          <w:rFonts w:ascii="Arial" w:eastAsia="Times New Roman" w:hAnsi="Arial" w:cs="Arial"/>
          <w:lang w:eastAsia="en-GB"/>
        </w:rPr>
      </w:pPr>
      <w:r w:rsidRPr="00BD1C18">
        <w:rPr>
          <w:rFonts w:ascii="Arial" w:eastAsia="Times New Roman" w:hAnsi="Arial" w:cs="Arial"/>
          <w:lang w:eastAsia="en-GB"/>
        </w:rPr>
        <w:t xml:space="preserve">Councillor Bretherton </w:t>
      </w:r>
      <w:proofErr w:type="gramStart"/>
      <w:r w:rsidRPr="00BD1C18">
        <w:rPr>
          <w:rFonts w:ascii="Arial" w:eastAsia="Times New Roman" w:hAnsi="Arial" w:cs="Arial"/>
          <w:lang w:eastAsia="en-GB"/>
        </w:rPr>
        <w:t>made reference</w:t>
      </w:r>
      <w:proofErr w:type="gramEnd"/>
      <w:r w:rsidRPr="00BD1C18">
        <w:rPr>
          <w:rFonts w:ascii="Arial" w:eastAsia="Times New Roman" w:hAnsi="Arial" w:cs="Arial"/>
          <w:lang w:eastAsia="en-GB"/>
        </w:rPr>
        <w:t xml:space="preserve"> to a recent error in the Statement of Accounts concerning the level of risk for Employee Pension Fund investments, which had been marked ‘high’ when subsequently the auditor confirmed to him that the level of risk was reasonable. It was agreed that the Deputy Director of Finance and Section 151 officer would provide confirmation that the Statement of Accounts had been updated and Councillor Foster, the Council’s representative on the Lancashire Pensions Fund Committee who was also in attendance at the meeting, confirmed that the Committee robustly monitors investments and that he would supply contact details</w:t>
      </w:r>
    </w:p>
    <w:p w14:paraId="576D57A4" w14:textId="77777777" w:rsidR="00E02C4E" w:rsidRPr="00BD1C18" w:rsidRDefault="00E02C4E" w:rsidP="00E02C4E">
      <w:pPr>
        <w:spacing w:after="0" w:line="240" w:lineRule="auto"/>
        <w:ind w:left="720"/>
        <w:contextualSpacing/>
        <w:rPr>
          <w:rFonts w:ascii="Arial" w:eastAsia="Times New Roman" w:hAnsi="Arial" w:cs="Arial"/>
          <w:lang w:eastAsia="en-GB"/>
        </w:rPr>
      </w:pPr>
      <w:r w:rsidRPr="00BD1C18">
        <w:rPr>
          <w:rFonts w:ascii="Arial" w:eastAsia="Times New Roman" w:hAnsi="Arial" w:cs="Arial"/>
          <w:lang w:eastAsia="en-GB"/>
        </w:rPr>
        <w:t xml:space="preserve">for members to obtain further information about its work. </w:t>
      </w:r>
    </w:p>
    <w:p w14:paraId="18C805B9" w14:textId="77777777" w:rsidR="00E02C4E" w:rsidRPr="00BD1C18" w:rsidRDefault="00E02C4E" w:rsidP="00E02C4E">
      <w:pPr>
        <w:numPr>
          <w:ilvl w:val="0"/>
          <w:numId w:val="17"/>
        </w:numPr>
        <w:spacing w:after="0" w:line="240" w:lineRule="auto"/>
        <w:contextualSpacing/>
        <w:rPr>
          <w:rFonts w:ascii="Arial" w:eastAsia="Times New Roman" w:hAnsi="Arial" w:cs="Arial"/>
          <w:lang w:eastAsia="en-GB"/>
        </w:rPr>
      </w:pPr>
      <w:r w:rsidRPr="00BD1C18">
        <w:rPr>
          <w:rFonts w:ascii="Arial" w:eastAsia="Times New Roman" w:hAnsi="Arial" w:cs="Arial"/>
          <w:lang w:eastAsia="en-GB"/>
        </w:rPr>
        <w:t xml:space="preserve">Concern was expressed </w:t>
      </w:r>
      <w:proofErr w:type="gramStart"/>
      <w:r w:rsidRPr="00BD1C18">
        <w:rPr>
          <w:rFonts w:ascii="Arial" w:eastAsia="Times New Roman" w:hAnsi="Arial" w:cs="Arial"/>
          <w:lang w:eastAsia="en-GB"/>
        </w:rPr>
        <w:t>with regard to</w:t>
      </w:r>
      <w:proofErr w:type="gramEnd"/>
      <w:r w:rsidRPr="00BD1C18">
        <w:rPr>
          <w:rFonts w:ascii="Arial" w:eastAsia="Times New Roman" w:hAnsi="Arial" w:cs="Arial"/>
          <w:lang w:eastAsia="en-GB"/>
        </w:rPr>
        <w:t xml:space="preserve"> the clarity of the definitions of risk in the Strategy, however it was agreed to roll out the Strategy, receive feedback and review as appropriate.</w:t>
      </w:r>
    </w:p>
    <w:p w14:paraId="4C904733" w14:textId="77777777" w:rsidR="00E02C4E" w:rsidRPr="00BD1C18" w:rsidRDefault="00E02C4E" w:rsidP="00E02C4E">
      <w:pPr>
        <w:numPr>
          <w:ilvl w:val="0"/>
          <w:numId w:val="17"/>
        </w:numPr>
        <w:spacing w:after="0" w:line="240" w:lineRule="auto"/>
        <w:contextualSpacing/>
        <w:rPr>
          <w:rFonts w:ascii="Arial" w:eastAsia="Times New Roman" w:hAnsi="Arial" w:cs="Arial"/>
          <w:lang w:eastAsia="en-GB"/>
        </w:rPr>
      </w:pPr>
      <w:r w:rsidRPr="00BD1C18">
        <w:rPr>
          <w:rFonts w:ascii="Arial" w:eastAsia="Times New Roman" w:hAnsi="Arial" w:cs="Arial"/>
          <w:lang w:eastAsia="en-GB"/>
        </w:rPr>
        <w:t>It was confirmed that the ‘red risks’ identified for 3 monthly review in the GRACE system would actually be monitored on an ongoing basis. GRACE would generate an additional alert to review the risk after 3 months.</w:t>
      </w:r>
    </w:p>
    <w:p w14:paraId="560843D2" w14:textId="77777777" w:rsidR="00E02C4E" w:rsidRPr="00BD1C18" w:rsidRDefault="00E02C4E" w:rsidP="00E02C4E">
      <w:pPr>
        <w:numPr>
          <w:ilvl w:val="0"/>
          <w:numId w:val="17"/>
        </w:numPr>
        <w:spacing w:after="0" w:line="240" w:lineRule="auto"/>
        <w:contextualSpacing/>
        <w:rPr>
          <w:rFonts w:ascii="Arial" w:eastAsia="Times New Roman" w:hAnsi="Arial" w:cs="Arial"/>
          <w:lang w:eastAsia="en-GB"/>
        </w:rPr>
      </w:pPr>
      <w:r w:rsidRPr="00BD1C18">
        <w:rPr>
          <w:rFonts w:ascii="Arial" w:eastAsia="Times New Roman" w:hAnsi="Arial" w:cs="Arial"/>
          <w:lang w:eastAsia="en-GB"/>
        </w:rPr>
        <w:t xml:space="preserve">A Corporate Governance Group had been established which will meet regularly to monitor risk management. </w:t>
      </w:r>
    </w:p>
    <w:p w14:paraId="161EB665" w14:textId="77777777" w:rsidR="00E02C4E" w:rsidRPr="00BD1C18" w:rsidRDefault="00E02C4E" w:rsidP="00E02C4E">
      <w:pPr>
        <w:spacing w:after="0" w:line="240" w:lineRule="auto"/>
        <w:rPr>
          <w:rFonts w:ascii="Arial" w:eastAsia="Times New Roman" w:hAnsi="Arial" w:cs="Arial"/>
          <w:lang w:eastAsia="en-GB"/>
        </w:rPr>
      </w:pPr>
    </w:p>
    <w:p w14:paraId="6A12EB6E" w14:textId="581E59AA" w:rsidR="00E02C4E" w:rsidRPr="00BD1C18" w:rsidRDefault="00E02C4E" w:rsidP="00F0240A">
      <w:pPr>
        <w:pStyle w:val="ListParagraph"/>
        <w:numPr>
          <w:ilvl w:val="0"/>
          <w:numId w:val="1"/>
        </w:numPr>
        <w:spacing w:after="0" w:line="240" w:lineRule="auto"/>
        <w:rPr>
          <w:rFonts w:ascii="Arial" w:eastAsia="Times New Roman" w:hAnsi="Arial" w:cs="Arial"/>
          <w:lang w:eastAsia="en-GB"/>
        </w:rPr>
      </w:pPr>
      <w:r w:rsidRPr="00BD1C18">
        <w:rPr>
          <w:rFonts w:ascii="Arial" w:eastAsia="Times New Roman" w:hAnsi="Arial" w:cs="Arial"/>
          <w:lang w:eastAsia="en-GB"/>
        </w:rPr>
        <w:t xml:space="preserve"> The Committee agreed that the </w:t>
      </w:r>
      <w:r w:rsidRPr="00BD1C18">
        <w:rPr>
          <w:rFonts w:ascii="Arial" w:hAnsi="Arial" w:cs="Arial"/>
        </w:rPr>
        <w:t>updated Risk Management Strategy be approved.</w:t>
      </w:r>
    </w:p>
    <w:p w14:paraId="0BC6DAFB" w14:textId="00E22BAA" w:rsidR="00E02C4E" w:rsidRPr="00BD1C18" w:rsidRDefault="00E02C4E" w:rsidP="00F0240A">
      <w:pPr>
        <w:pStyle w:val="Heading2"/>
        <w:rPr>
          <w:rFonts w:eastAsia="Times New Roman"/>
          <w:sz w:val="22"/>
          <w:szCs w:val="22"/>
        </w:rPr>
      </w:pPr>
      <w:r w:rsidRPr="00BD1C18">
        <w:rPr>
          <w:rFonts w:eastAsia="Times New Roman"/>
          <w:sz w:val="22"/>
          <w:szCs w:val="22"/>
        </w:rPr>
        <w:t>Local Code of Corporate Governance Update</w:t>
      </w:r>
    </w:p>
    <w:p w14:paraId="24E72980" w14:textId="77777777" w:rsidR="00E02C4E" w:rsidRPr="00BD1C18" w:rsidRDefault="00E02C4E" w:rsidP="00E02C4E">
      <w:pPr>
        <w:pStyle w:val="ListParagraph"/>
        <w:spacing w:after="0" w:line="240" w:lineRule="auto"/>
        <w:rPr>
          <w:rFonts w:ascii="Arial" w:eastAsia="Times New Roman" w:hAnsi="Arial" w:cs="Arial"/>
          <w:lang w:eastAsia="en-GB"/>
        </w:rPr>
      </w:pPr>
    </w:p>
    <w:p w14:paraId="1D8FAF1E" w14:textId="317D1067" w:rsidR="00E02C4E" w:rsidRPr="00BD1C18" w:rsidRDefault="00E02C4E" w:rsidP="00F0240A">
      <w:pPr>
        <w:pStyle w:val="ListParagraph"/>
        <w:numPr>
          <w:ilvl w:val="0"/>
          <w:numId w:val="1"/>
        </w:numPr>
        <w:spacing w:after="0" w:line="240" w:lineRule="auto"/>
        <w:rPr>
          <w:rFonts w:ascii="Arial" w:eastAsia="Times New Roman" w:hAnsi="Arial" w:cs="Arial"/>
          <w:lang w:eastAsia="en-GB"/>
        </w:rPr>
      </w:pPr>
      <w:r w:rsidRPr="00BD1C18">
        <w:rPr>
          <w:rFonts w:ascii="Arial" w:eastAsia="Times New Roman" w:hAnsi="Arial" w:cs="Arial"/>
          <w:lang w:eastAsia="en-GB"/>
        </w:rPr>
        <w:t>The Director of Governance and Monitoring Officer presented a report informing members of updates to the Local Code of Corporate Governance and seeking approval of the proposed amendments.</w:t>
      </w:r>
    </w:p>
    <w:p w14:paraId="25EB0C4C" w14:textId="77777777" w:rsidR="00693984" w:rsidRPr="00BD1C18" w:rsidRDefault="00693984" w:rsidP="00693984">
      <w:pPr>
        <w:pStyle w:val="ListParagraph"/>
        <w:spacing w:after="0" w:line="240" w:lineRule="auto"/>
        <w:rPr>
          <w:rFonts w:ascii="Arial" w:eastAsia="Times New Roman" w:hAnsi="Arial" w:cs="Arial"/>
          <w:lang w:eastAsia="en-GB"/>
        </w:rPr>
      </w:pPr>
    </w:p>
    <w:p w14:paraId="051B2FBD" w14:textId="32924C12" w:rsidR="00693984" w:rsidRPr="00BD1C18" w:rsidRDefault="00693984" w:rsidP="00F0240A">
      <w:pPr>
        <w:pStyle w:val="ListParagraph"/>
        <w:numPr>
          <w:ilvl w:val="0"/>
          <w:numId w:val="1"/>
        </w:numPr>
        <w:spacing w:after="0" w:line="240" w:lineRule="auto"/>
        <w:rPr>
          <w:rFonts w:ascii="Arial" w:eastAsia="Times New Roman" w:hAnsi="Arial" w:cs="Arial"/>
          <w:lang w:eastAsia="en-GB"/>
        </w:rPr>
      </w:pPr>
      <w:r w:rsidRPr="00BD1C18">
        <w:rPr>
          <w:rFonts w:ascii="Arial" w:hAnsi="Arial" w:cs="Arial"/>
          <w:bCs/>
          <w:iCs/>
        </w:rPr>
        <w:t>The Council’s Local Code of Corporate Governance required updating to reflect changes to Council documents and organisation structure. The amended document incorporates these changes and ensures that the Local Code remains relevant and a clear and correct statement of our governance framework.</w:t>
      </w:r>
    </w:p>
    <w:p w14:paraId="2C3DDD94" w14:textId="77777777" w:rsidR="00E02C4E" w:rsidRPr="00BD1C18" w:rsidRDefault="00E02C4E" w:rsidP="00E02C4E">
      <w:pPr>
        <w:spacing w:after="0" w:line="240" w:lineRule="auto"/>
        <w:rPr>
          <w:rFonts w:ascii="Arial" w:eastAsia="Times New Roman" w:hAnsi="Arial" w:cs="Arial"/>
          <w:lang w:eastAsia="en-GB"/>
        </w:rPr>
      </w:pPr>
    </w:p>
    <w:p w14:paraId="5C6A3BC6" w14:textId="349F7D4C" w:rsidR="00E02C4E" w:rsidRDefault="00E02C4E" w:rsidP="00F0240A">
      <w:pPr>
        <w:pStyle w:val="ListParagraph"/>
        <w:numPr>
          <w:ilvl w:val="0"/>
          <w:numId w:val="1"/>
        </w:numPr>
        <w:spacing w:after="0" w:line="240" w:lineRule="auto"/>
        <w:rPr>
          <w:rFonts w:ascii="Arial" w:eastAsia="Times New Roman" w:hAnsi="Arial" w:cs="Arial"/>
          <w:lang w:eastAsia="en-GB"/>
        </w:rPr>
      </w:pPr>
      <w:r w:rsidRPr="00BD1C18">
        <w:rPr>
          <w:rFonts w:ascii="Arial" w:eastAsia="Times New Roman" w:hAnsi="Arial" w:cs="Arial"/>
          <w:lang w:eastAsia="en-GB"/>
        </w:rPr>
        <w:t>The Committee agreed that the Local Code of Corporate Governance, attached at Appendix A to the report, be approved.</w:t>
      </w:r>
    </w:p>
    <w:p w14:paraId="5DA4F0A8" w14:textId="77777777" w:rsidR="000B0BE4" w:rsidRPr="000B0BE4" w:rsidRDefault="000B0BE4" w:rsidP="000B0BE4">
      <w:pPr>
        <w:pStyle w:val="ListParagraph"/>
        <w:rPr>
          <w:rFonts w:ascii="Arial" w:eastAsia="Times New Roman" w:hAnsi="Arial" w:cs="Arial"/>
          <w:lang w:eastAsia="en-GB"/>
        </w:rPr>
      </w:pPr>
    </w:p>
    <w:p w14:paraId="65969A28" w14:textId="77777777" w:rsidR="000B0BE4" w:rsidRPr="00BD1C18" w:rsidRDefault="000B0BE4" w:rsidP="000B0BE4">
      <w:pPr>
        <w:pStyle w:val="ListParagraph"/>
        <w:spacing w:after="0" w:line="240" w:lineRule="auto"/>
        <w:rPr>
          <w:rFonts w:ascii="Arial" w:eastAsia="Times New Roman" w:hAnsi="Arial" w:cs="Arial"/>
          <w:lang w:eastAsia="en-GB"/>
        </w:rPr>
      </w:pPr>
    </w:p>
    <w:p w14:paraId="2AB80727" w14:textId="77777777" w:rsidR="00BC67EF" w:rsidRDefault="00BC67EF">
      <w:pPr>
        <w:rPr>
          <w:rFonts w:ascii="Arial" w:eastAsiaTheme="majorEastAsia" w:hAnsi="Arial" w:cs="Arial"/>
          <w:b/>
          <w:bCs/>
        </w:rPr>
      </w:pPr>
      <w:r>
        <w:rPr>
          <w:rFonts w:ascii="Arial" w:eastAsiaTheme="majorEastAsia" w:hAnsi="Arial" w:cs="Arial"/>
          <w:b/>
          <w:bCs/>
        </w:rPr>
        <w:br w:type="page"/>
      </w:r>
    </w:p>
    <w:p w14:paraId="776CCC0D" w14:textId="77777777" w:rsidR="00BC67EF" w:rsidRPr="00BD1C18" w:rsidRDefault="00BC67EF" w:rsidP="003F346D">
      <w:pPr>
        <w:pStyle w:val="ListParagraph"/>
        <w:rPr>
          <w:rFonts w:ascii="Arial" w:hAnsi="Arial" w:cs="Arial"/>
        </w:rPr>
      </w:pPr>
    </w:p>
    <w:p w14:paraId="711AFD84" w14:textId="77777777" w:rsidR="00F0240A" w:rsidRPr="00BC67EF" w:rsidRDefault="00F0240A" w:rsidP="00BC67EF">
      <w:pPr>
        <w:pStyle w:val="NoSpacing"/>
        <w:rPr>
          <w:rFonts w:ascii="Arial" w:hAnsi="Arial" w:cs="Arial"/>
        </w:rPr>
      </w:pPr>
      <w:r w:rsidRPr="00BC67EF">
        <w:rPr>
          <w:rFonts w:ascii="Arial" w:hAnsi="Arial" w:cs="Arial"/>
        </w:rPr>
        <w:t>Councillor Ian Watkinson</w:t>
      </w:r>
    </w:p>
    <w:p w14:paraId="04C1B1CB" w14:textId="15132968" w:rsidR="00237300" w:rsidRDefault="00F0240A" w:rsidP="00BC67EF">
      <w:pPr>
        <w:pStyle w:val="NoSpacing"/>
        <w:rPr>
          <w:rFonts w:ascii="Arial" w:hAnsi="Arial" w:cs="Arial"/>
        </w:rPr>
      </w:pPr>
      <w:r w:rsidRPr="00BC67EF">
        <w:rPr>
          <w:rFonts w:ascii="Arial" w:hAnsi="Arial" w:cs="Arial"/>
        </w:rPr>
        <w:t>Chair of the Governance Committee</w:t>
      </w:r>
    </w:p>
    <w:p w14:paraId="1B28257E" w14:textId="6E331AC7" w:rsidR="00BC67EF" w:rsidRDefault="00BC67EF" w:rsidP="00BC67EF">
      <w:pPr>
        <w:pStyle w:val="NoSpacing"/>
        <w:rPr>
          <w:rFonts w:ascii="Arial" w:hAnsi="Arial" w:cs="Arial"/>
        </w:rPr>
      </w:pPr>
    </w:p>
    <w:p w14:paraId="3997337D" w14:textId="1FA6AC34" w:rsidR="00BC67EF" w:rsidRPr="00BC67EF" w:rsidRDefault="00BC67EF" w:rsidP="00BC67EF">
      <w:pPr>
        <w:pStyle w:val="NoSpacing"/>
        <w:rPr>
          <w:rFonts w:ascii="Arial" w:hAnsi="Arial" w:cs="Arial"/>
        </w:rPr>
      </w:pPr>
      <w:r>
        <w:rPr>
          <w:rFonts w:ascii="Arial" w:hAnsi="Arial" w:cs="Arial"/>
        </w:rPr>
        <w:t xml:space="preserve">CG </w:t>
      </w:r>
    </w:p>
    <w:p w14:paraId="2BE5F0C0" w14:textId="061105D6" w:rsidR="00237300" w:rsidRPr="00BD1C18" w:rsidRDefault="00237300" w:rsidP="00B04145">
      <w:pPr>
        <w:rPr>
          <w:rFonts w:ascii="Arial" w:hAnsi="Arial" w:cs="Arial"/>
        </w:rPr>
      </w:pPr>
    </w:p>
    <w:sectPr w:rsidR="00237300" w:rsidRPr="00BD1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014E"/>
    <w:multiLevelType w:val="hybridMultilevel"/>
    <w:tmpl w:val="885EE666"/>
    <w:lvl w:ilvl="0" w:tplc="7FA6AC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CE20BA"/>
    <w:multiLevelType w:val="hybridMultilevel"/>
    <w:tmpl w:val="D87A7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C1481A"/>
    <w:multiLevelType w:val="hybridMultilevel"/>
    <w:tmpl w:val="59128282"/>
    <w:lvl w:ilvl="0" w:tplc="02C80A5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65DAD"/>
    <w:multiLevelType w:val="hybridMultilevel"/>
    <w:tmpl w:val="8B2C8FCC"/>
    <w:lvl w:ilvl="0" w:tplc="B516C4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7CD22ED"/>
    <w:multiLevelType w:val="hybridMultilevel"/>
    <w:tmpl w:val="AB2062AE"/>
    <w:lvl w:ilvl="0" w:tplc="476ECA66">
      <w:start w:val="1"/>
      <w:numFmt w:val="decimal"/>
      <w:lvlText w:val="%1."/>
      <w:lvlJc w:val="left"/>
      <w:pPr>
        <w:ind w:left="930" w:hanging="360"/>
      </w:pPr>
      <w:rPr>
        <w:rFonts w:ascii="Arial" w:eastAsiaTheme="minorHAnsi" w:hAnsi="Arial" w:cs="Arial" w:hint="default"/>
      </w:rPr>
    </w:lvl>
    <w:lvl w:ilvl="1" w:tplc="A4F6F89C">
      <w:start w:val="1"/>
      <w:numFmt w:val="lowerLetter"/>
      <w:lvlText w:val="%2."/>
      <w:lvlJc w:val="left"/>
      <w:pPr>
        <w:ind w:left="1650" w:hanging="360"/>
      </w:pPr>
    </w:lvl>
    <w:lvl w:ilvl="2" w:tplc="2B20BDBA">
      <w:start w:val="1"/>
      <w:numFmt w:val="lowerRoman"/>
      <w:lvlText w:val="%3."/>
      <w:lvlJc w:val="right"/>
      <w:pPr>
        <w:ind w:left="2370" w:hanging="180"/>
      </w:pPr>
    </w:lvl>
    <w:lvl w:ilvl="3" w:tplc="3EA21D02">
      <w:start w:val="1"/>
      <w:numFmt w:val="decimal"/>
      <w:lvlText w:val="%4."/>
      <w:lvlJc w:val="left"/>
      <w:pPr>
        <w:ind w:left="3090" w:hanging="360"/>
      </w:pPr>
    </w:lvl>
    <w:lvl w:ilvl="4" w:tplc="5E4031D2">
      <w:start w:val="1"/>
      <w:numFmt w:val="lowerLetter"/>
      <w:lvlText w:val="%5."/>
      <w:lvlJc w:val="left"/>
      <w:pPr>
        <w:ind w:left="3810" w:hanging="360"/>
      </w:pPr>
    </w:lvl>
    <w:lvl w:ilvl="5" w:tplc="BB369288">
      <w:start w:val="1"/>
      <w:numFmt w:val="lowerRoman"/>
      <w:lvlText w:val="%6."/>
      <w:lvlJc w:val="right"/>
      <w:pPr>
        <w:ind w:left="4530" w:hanging="180"/>
      </w:pPr>
    </w:lvl>
    <w:lvl w:ilvl="6" w:tplc="D3805114">
      <w:start w:val="1"/>
      <w:numFmt w:val="decimal"/>
      <w:lvlText w:val="%7."/>
      <w:lvlJc w:val="left"/>
      <w:pPr>
        <w:ind w:left="5250" w:hanging="360"/>
      </w:pPr>
    </w:lvl>
    <w:lvl w:ilvl="7" w:tplc="DE447F08">
      <w:start w:val="1"/>
      <w:numFmt w:val="lowerLetter"/>
      <w:lvlText w:val="%8."/>
      <w:lvlJc w:val="left"/>
      <w:pPr>
        <w:ind w:left="5970" w:hanging="360"/>
      </w:pPr>
    </w:lvl>
    <w:lvl w:ilvl="8" w:tplc="D5D03002">
      <w:start w:val="1"/>
      <w:numFmt w:val="lowerRoman"/>
      <w:lvlText w:val="%9."/>
      <w:lvlJc w:val="right"/>
      <w:pPr>
        <w:ind w:left="6690" w:hanging="180"/>
      </w:pPr>
    </w:lvl>
  </w:abstractNum>
  <w:abstractNum w:abstractNumId="5" w15:restartNumberingAfterBreak="0">
    <w:nsid w:val="2AED0C99"/>
    <w:multiLevelType w:val="hybridMultilevel"/>
    <w:tmpl w:val="BFF6D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CD46A65"/>
    <w:multiLevelType w:val="hybridMultilevel"/>
    <w:tmpl w:val="0234FD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E5348"/>
    <w:multiLevelType w:val="hybridMultilevel"/>
    <w:tmpl w:val="90DCD930"/>
    <w:lvl w:ilvl="0" w:tplc="753860B8">
      <w:start w:val="1"/>
      <w:numFmt w:val="bullet"/>
      <w:lvlText w:val=""/>
      <w:lvlJc w:val="left"/>
      <w:pPr>
        <w:ind w:left="360" w:hanging="360"/>
      </w:pPr>
      <w:rPr>
        <w:rFonts w:ascii="Wingdings 3" w:hAnsi="Wingdings 3"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6F468F4"/>
    <w:multiLevelType w:val="hybridMultilevel"/>
    <w:tmpl w:val="789C84BA"/>
    <w:lvl w:ilvl="0" w:tplc="0809000F">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D0F1C"/>
    <w:multiLevelType w:val="hybridMultilevel"/>
    <w:tmpl w:val="1FC068E6"/>
    <w:lvl w:ilvl="0" w:tplc="A852FE20">
      <w:start w:val="1"/>
      <w:numFmt w:val="decimal"/>
      <w:lvlText w:val="%1)"/>
      <w:lvlJc w:val="left"/>
      <w:pPr>
        <w:ind w:left="720" w:hanging="360"/>
      </w:pPr>
      <w:rPr>
        <w:rFonts w:ascii="Arial" w:eastAsia="Times New Roman" w:hAnsi="Arial"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1035347"/>
    <w:multiLevelType w:val="hybridMultilevel"/>
    <w:tmpl w:val="3FA4C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0B61AD"/>
    <w:multiLevelType w:val="hybridMultilevel"/>
    <w:tmpl w:val="36441EE2"/>
    <w:lvl w:ilvl="0" w:tplc="21841796">
      <w:start w:val="1"/>
      <w:numFmt w:val="decimal"/>
      <w:lvlText w:val="%1."/>
      <w:lvlJc w:val="left"/>
      <w:pPr>
        <w:ind w:left="720" w:hanging="360"/>
      </w:pPr>
      <w:rPr>
        <w:rFonts w:hint="default"/>
        <w:i w:val="0"/>
        <w:i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013258"/>
    <w:multiLevelType w:val="hybridMultilevel"/>
    <w:tmpl w:val="22C2D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BF00E5"/>
    <w:multiLevelType w:val="hybridMultilevel"/>
    <w:tmpl w:val="EEB090E2"/>
    <w:lvl w:ilvl="0" w:tplc="3086EC20">
      <w:start w:val="1"/>
      <w:numFmt w:val="decimal"/>
      <w:lvlText w:val="%1."/>
      <w:lvlJc w:val="left"/>
      <w:pPr>
        <w:ind w:left="720" w:hanging="360"/>
      </w:pPr>
      <w:rPr>
        <w:rFonts w:ascii="Arial" w:hAnsi="Arial" w:cs="Times New Roman" w:hint="default"/>
        <w:b/>
        <w:i w:val="0"/>
        <w:color w:val="auto"/>
      </w:rPr>
    </w:lvl>
    <w:lvl w:ilvl="1" w:tplc="3F90F4CE">
      <w:start w:val="1"/>
      <w:numFmt w:val="lowerLetter"/>
      <w:lvlText w:val="%2."/>
      <w:lvlJc w:val="left"/>
      <w:pPr>
        <w:ind w:left="1440" w:hanging="360"/>
      </w:pPr>
    </w:lvl>
    <w:lvl w:ilvl="2" w:tplc="277C07DC">
      <w:start w:val="1"/>
      <w:numFmt w:val="lowerRoman"/>
      <w:lvlText w:val="%3."/>
      <w:lvlJc w:val="right"/>
      <w:pPr>
        <w:ind w:left="2160" w:hanging="180"/>
      </w:pPr>
    </w:lvl>
    <w:lvl w:ilvl="3" w:tplc="CCA2FFC4">
      <w:start w:val="1"/>
      <w:numFmt w:val="decimal"/>
      <w:lvlText w:val="%4."/>
      <w:lvlJc w:val="left"/>
      <w:pPr>
        <w:ind w:left="2880" w:hanging="360"/>
      </w:pPr>
    </w:lvl>
    <w:lvl w:ilvl="4" w:tplc="B8EE21BC">
      <w:start w:val="1"/>
      <w:numFmt w:val="lowerLetter"/>
      <w:lvlText w:val="%5."/>
      <w:lvlJc w:val="left"/>
      <w:pPr>
        <w:ind w:left="3600" w:hanging="360"/>
      </w:pPr>
    </w:lvl>
    <w:lvl w:ilvl="5" w:tplc="9F74C0BA">
      <w:start w:val="1"/>
      <w:numFmt w:val="lowerRoman"/>
      <w:lvlText w:val="%6."/>
      <w:lvlJc w:val="right"/>
      <w:pPr>
        <w:ind w:left="4320" w:hanging="180"/>
      </w:pPr>
    </w:lvl>
    <w:lvl w:ilvl="6" w:tplc="23DE5252">
      <w:start w:val="1"/>
      <w:numFmt w:val="decimal"/>
      <w:lvlText w:val="%7."/>
      <w:lvlJc w:val="left"/>
      <w:pPr>
        <w:ind w:left="5040" w:hanging="360"/>
      </w:pPr>
    </w:lvl>
    <w:lvl w:ilvl="7" w:tplc="AB2AD9E6">
      <w:start w:val="1"/>
      <w:numFmt w:val="lowerLetter"/>
      <w:lvlText w:val="%8."/>
      <w:lvlJc w:val="left"/>
      <w:pPr>
        <w:ind w:left="5760" w:hanging="360"/>
      </w:pPr>
    </w:lvl>
    <w:lvl w:ilvl="8" w:tplc="FB884804">
      <w:start w:val="1"/>
      <w:numFmt w:val="lowerRoman"/>
      <w:lvlText w:val="%9."/>
      <w:lvlJc w:val="right"/>
      <w:pPr>
        <w:ind w:left="6480" w:hanging="180"/>
      </w:pPr>
    </w:lvl>
  </w:abstractNum>
  <w:abstractNum w:abstractNumId="14" w15:restartNumberingAfterBreak="0">
    <w:nsid w:val="644C0046"/>
    <w:multiLevelType w:val="hybridMultilevel"/>
    <w:tmpl w:val="4BCAF28E"/>
    <w:lvl w:ilvl="0" w:tplc="61FA35DA">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9F1D4E"/>
    <w:multiLevelType w:val="hybridMultilevel"/>
    <w:tmpl w:val="FB50D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B21142"/>
    <w:multiLevelType w:val="hybridMultilevel"/>
    <w:tmpl w:val="8AC4173C"/>
    <w:lvl w:ilvl="0" w:tplc="753860B8">
      <w:start w:val="1"/>
      <w:numFmt w:val="bullet"/>
      <w:lvlText w:val=""/>
      <w:lvlJc w:val="left"/>
      <w:pPr>
        <w:ind w:left="360" w:hanging="360"/>
      </w:pPr>
      <w:rPr>
        <w:rFonts w:ascii="Wingdings 3" w:hAnsi="Wingdings 3"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A022C49"/>
    <w:multiLevelType w:val="hybridMultilevel"/>
    <w:tmpl w:val="65088436"/>
    <w:lvl w:ilvl="0" w:tplc="753860B8">
      <w:start w:val="1"/>
      <w:numFmt w:val="bullet"/>
      <w:lvlText w:val=""/>
      <w:lvlJc w:val="left"/>
      <w:pPr>
        <w:ind w:left="360" w:hanging="360"/>
      </w:pPr>
      <w:rPr>
        <w:rFonts w:ascii="Wingdings 3" w:hAnsi="Wingdings 3"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B003822"/>
    <w:multiLevelType w:val="hybridMultilevel"/>
    <w:tmpl w:val="4FB09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9B44A96"/>
    <w:multiLevelType w:val="hybridMultilevel"/>
    <w:tmpl w:val="CCF0A1D4"/>
    <w:lvl w:ilvl="0" w:tplc="EDE4EDA6">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7"/>
  </w:num>
  <w:num w:numId="6">
    <w:abstractNumId w:val="16"/>
  </w:num>
  <w:num w:numId="7">
    <w:abstractNumId w:val="8"/>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017C55"/>
    <w:rsid w:val="000238E3"/>
    <w:rsid w:val="000B0BE4"/>
    <w:rsid w:val="000C6C1D"/>
    <w:rsid w:val="001142CE"/>
    <w:rsid w:val="00122589"/>
    <w:rsid w:val="00184AF7"/>
    <w:rsid w:val="0021311C"/>
    <w:rsid w:val="00237300"/>
    <w:rsid w:val="00325A9C"/>
    <w:rsid w:val="00361D35"/>
    <w:rsid w:val="0037581E"/>
    <w:rsid w:val="00390801"/>
    <w:rsid w:val="003F346D"/>
    <w:rsid w:val="00413C91"/>
    <w:rsid w:val="004453C7"/>
    <w:rsid w:val="004473E2"/>
    <w:rsid w:val="004723F1"/>
    <w:rsid w:val="00494759"/>
    <w:rsid w:val="004D5C05"/>
    <w:rsid w:val="004E2B17"/>
    <w:rsid w:val="00502866"/>
    <w:rsid w:val="0053206E"/>
    <w:rsid w:val="005F2B9B"/>
    <w:rsid w:val="00607F97"/>
    <w:rsid w:val="00630DC0"/>
    <w:rsid w:val="00656E63"/>
    <w:rsid w:val="00693984"/>
    <w:rsid w:val="007613FC"/>
    <w:rsid w:val="0079158F"/>
    <w:rsid w:val="007E0075"/>
    <w:rsid w:val="00851535"/>
    <w:rsid w:val="0088468F"/>
    <w:rsid w:val="008A1E57"/>
    <w:rsid w:val="008D162D"/>
    <w:rsid w:val="00A05E59"/>
    <w:rsid w:val="00A736A6"/>
    <w:rsid w:val="00A90AAF"/>
    <w:rsid w:val="00AD17F3"/>
    <w:rsid w:val="00AF3213"/>
    <w:rsid w:val="00B04145"/>
    <w:rsid w:val="00B23A30"/>
    <w:rsid w:val="00B4339D"/>
    <w:rsid w:val="00B831CA"/>
    <w:rsid w:val="00BC67EF"/>
    <w:rsid w:val="00BD1C18"/>
    <w:rsid w:val="00C40296"/>
    <w:rsid w:val="00C4704C"/>
    <w:rsid w:val="00CE76F9"/>
    <w:rsid w:val="00DA22D5"/>
    <w:rsid w:val="00DD5DF1"/>
    <w:rsid w:val="00DE055E"/>
    <w:rsid w:val="00DF65BA"/>
    <w:rsid w:val="00E02C4E"/>
    <w:rsid w:val="00E66C11"/>
    <w:rsid w:val="00E771CB"/>
    <w:rsid w:val="00F0240A"/>
    <w:rsid w:val="00F24EA4"/>
    <w:rsid w:val="00F94199"/>
    <w:rsid w:val="00FD07AD"/>
    <w:rsid w:val="00FE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4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DF65BA"/>
    <w:pPr>
      <w:keepNext/>
      <w:spacing w:before="240" w:after="0" w:line="240" w:lineRule="auto"/>
      <w:outlineLvl w:val="1"/>
    </w:pPr>
    <w:rPr>
      <w:rFonts w:ascii="Arial" w:eastAsiaTheme="minorEastAsia" w:hAnsi="Arial" w:cs="Arial"/>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1E"/>
    <w:pPr>
      <w:ind w:left="720"/>
      <w:contextualSpacing/>
    </w:pPr>
  </w:style>
  <w:style w:type="character" w:customStyle="1" w:styleId="Heading2Char">
    <w:name w:val="Heading 2 Char"/>
    <w:basedOn w:val="DefaultParagraphFont"/>
    <w:link w:val="Heading2"/>
    <w:uiPriority w:val="9"/>
    <w:rsid w:val="00DF65BA"/>
    <w:rPr>
      <w:rFonts w:ascii="Arial" w:eastAsiaTheme="minorEastAsia" w:hAnsi="Arial" w:cs="Arial"/>
      <w:b/>
      <w:bCs/>
      <w:iCs/>
      <w:sz w:val="24"/>
      <w:szCs w:val="28"/>
      <w:lang w:eastAsia="en-GB"/>
    </w:rPr>
  </w:style>
  <w:style w:type="paragraph" w:customStyle="1" w:styleId="Default">
    <w:name w:val="Default"/>
    <w:rsid w:val="003F346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0240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C6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5614">
      <w:bodyDiv w:val="1"/>
      <w:marLeft w:val="0"/>
      <w:marRight w:val="0"/>
      <w:marTop w:val="0"/>
      <w:marBottom w:val="0"/>
      <w:divBdr>
        <w:top w:val="none" w:sz="0" w:space="0" w:color="auto"/>
        <w:left w:val="none" w:sz="0" w:space="0" w:color="auto"/>
        <w:bottom w:val="none" w:sz="0" w:space="0" w:color="auto"/>
        <w:right w:val="none" w:sz="0" w:space="0" w:color="auto"/>
      </w:divBdr>
    </w:div>
    <w:div w:id="128864670">
      <w:bodyDiv w:val="1"/>
      <w:marLeft w:val="0"/>
      <w:marRight w:val="0"/>
      <w:marTop w:val="0"/>
      <w:marBottom w:val="0"/>
      <w:divBdr>
        <w:top w:val="none" w:sz="0" w:space="0" w:color="auto"/>
        <w:left w:val="none" w:sz="0" w:space="0" w:color="auto"/>
        <w:bottom w:val="none" w:sz="0" w:space="0" w:color="auto"/>
        <w:right w:val="none" w:sz="0" w:space="0" w:color="auto"/>
      </w:divBdr>
    </w:div>
    <w:div w:id="165168396">
      <w:bodyDiv w:val="1"/>
      <w:marLeft w:val="0"/>
      <w:marRight w:val="0"/>
      <w:marTop w:val="0"/>
      <w:marBottom w:val="0"/>
      <w:divBdr>
        <w:top w:val="none" w:sz="0" w:space="0" w:color="auto"/>
        <w:left w:val="none" w:sz="0" w:space="0" w:color="auto"/>
        <w:bottom w:val="none" w:sz="0" w:space="0" w:color="auto"/>
        <w:right w:val="none" w:sz="0" w:space="0" w:color="auto"/>
      </w:divBdr>
    </w:div>
    <w:div w:id="167409828">
      <w:bodyDiv w:val="1"/>
      <w:marLeft w:val="0"/>
      <w:marRight w:val="0"/>
      <w:marTop w:val="0"/>
      <w:marBottom w:val="0"/>
      <w:divBdr>
        <w:top w:val="none" w:sz="0" w:space="0" w:color="auto"/>
        <w:left w:val="none" w:sz="0" w:space="0" w:color="auto"/>
        <w:bottom w:val="none" w:sz="0" w:space="0" w:color="auto"/>
        <w:right w:val="none" w:sz="0" w:space="0" w:color="auto"/>
      </w:divBdr>
    </w:div>
    <w:div w:id="199561777">
      <w:bodyDiv w:val="1"/>
      <w:marLeft w:val="0"/>
      <w:marRight w:val="0"/>
      <w:marTop w:val="0"/>
      <w:marBottom w:val="0"/>
      <w:divBdr>
        <w:top w:val="none" w:sz="0" w:space="0" w:color="auto"/>
        <w:left w:val="none" w:sz="0" w:space="0" w:color="auto"/>
        <w:bottom w:val="none" w:sz="0" w:space="0" w:color="auto"/>
        <w:right w:val="none" w:sz="0" w:space="0" w:color="auto"/>
      </w:divBdr>
    </w:div>
    <w:div w:id="236477737">
      <w:bodyDiv w:val="1"/>
      <w:marLeft w:val="0"/>
      <w:marRight w:val="0"/>
      <w:marTop w:val="0"/>
      <w:marBottom w:val="0"/>
      <w:divBdr>
        <w:top w:val="none" w:sz="0" w:space="0" w:color="auto"/>
        <w:left w:val="none" w:sz="0" w:space="0" w:color="auto"/>
        <w:bottom w:val="none" w:sz="0" w:space="0" w:color="auto"/>
        <w:right w:val="none" w:sz="0" w:space="0" w:color="auto"/>
      </w:divBdr>
    </w:div>
    <w:div w:id="498469555">
      <w:bodyDiv w:val="1"/>
      <w:marLeft w:val="0"/>
      <w:marRight w:val="0"/>
      <w:marTop w:val="0"/>
      <w:marBottom w:val="0"/>
      <w:divBdr>
        <w:top w:val="none" w:sz="0" w:space="0" w:color="auto"/>
        <w:left w:val="none" w:sz="0" w:space="0" w:color="auto"/>
        <w:bottom w:val="none" w:sz="0" w:space="0" w:color="auto"/>
        <w:right w:val="none" w:sz="0" w:space="0" w:color="auto"/>
      </w:divBdr>
    </w:div>
    <w:div w:id="571427458">
      <w:bodyDiv w:val="1"/>
      <w:marLeft w:val="0"/>
      <w:marRight w:val="0"/>
      <w:marTop w:val="0"/>
      <w:marBottom w:val="0"/>
      <w:divBdr>
        <w:top w:val="none" w:sz="0" w:space="0" w:color="auto"/>
        <w:left w:val="none" w:sz="0" w:space="0" w:color="auto"/>
        <w:bottom w:val="none" w:sz="0" w:space="0" w:color="auto"/>
        <w:right w:val="none" w:sz="0" w:space="0" w:color="auto"/>
      </w:divBdr>
    </w:div>
    <w:div w:id="659040239">
      <w:bodyDiv w:val="1"/>
      <w:marLeft w:val="0"/>
      <w:marRight w:val="0"/>
      <w:marTop w:val="0"/>
      <w:marBottom w:val="0"/>
      <w:divBdr>
        <w:top w:val="none" w:sz="0" w:space="0" w:color="auto"/>
        <w:left w:val="none" w:sz="0" w:space="0" w:color="auto"/>
        <w:bottom w:val="none" w:sz="0" w:space="0" w:color="auto"/>
        <w:right w:val="none" w:sz="0" w:space="0" w:color="auto"/>
      </w:divBdr>
    </w:div>
    <w:div w:id="676007701">
      <w:bodyDiv w:val="1"/>
      <w:marLeft w:val="0"/>
      <w:marRight w:val="0"/>
      <w:marTop w:val="0"/>
      <w:marBottom w:val="0"/>
      <w:divBdr>
        <w:top w:val="none" w:sz="0" w:space="0" w:color="auto"/>
        <w:left w:val="none" w:sz="0" w:space="0" w:color="auto"/>
        <w:bottom w:val="none" w:sz="0" w:space="0" w:color="auto"/>
        <w:right w:val="none" w:sz="0" w:space="0" w:color="auto"/>
      </w:divBdr>
    </w:div>
    <w:div w:id="750740401">
      <w:bodyDiv w:val="1"/>
      <w:marLeft w:val="0"/>
      <w:marRight w:val="0"/>
      <w:marTop w:val="0"/>
      <w:marBottom w:val="0"/>
      <w:divBdr>
        <w:top w:val="none" w:sz="0" w:space="0" w:color="auto"/>
        <w:left w:val="none" w:sz="0" w:space="0" w:color="auto"/>
        <w:bottom w:val="none" w:sz="0" w:space="0" w:color="auto"/>
        <w:right w:val="none" w:sz="0" w:space="0" w:color="auto"/>
      </w:divBdr>
    </w:div>
    <w:div w:id="766081238">
      <w:bodyDiv w:val="1"/>
      <w:marLeft w:val="0"/>
      <w:marRight w:val="0"/>
      <w:marTop w:val="0"/>
      <w:marBottom w:val="0"/>
      <w:divBdr>
        <w:top w:val="none" w:sz="0" w:space="0" w:color="auto"/>
        <w:left w:val="none" w:sz="0" w:space="0" w:color="auto"/>
        <w:bottom w:val="none" w:sz="0" w:space="0" w:color="auto"/>
        <w:right w:val="none" w:sz="0" w:space="0" w:color="auto"/>
      </w:divBdr>
    </w:div>
    <w:div w:id="815996085">
      <w:bodyDiv w:val="1"/>
      <w:marLeft w:val="0"/>
      <w:marRight w:val="0"/>
      <w:marTop w:val="0"/>
      <w:marBottom w:val="0"/>
      <w:divBdr>
        <w:top w:val="none" w:sz="0" w:space="0" w:color="auto"/>
        <w:left w:val="none" w:sz="0" w:space="0" w:color="auto"/>
        <w:bottom w:val="none" w:sz="0" w:space="0" w:color="auto"/>
        <w:right w:val="none" w:sz="0" w:space="0" w:color="auto"/>
      </w:divBdr>
    </w:div>
    <w:div w:id="840316335">
      <w:bodyDiv w:val="1"/>
      <w:marLeft w:val="0"/>
      <w:marRight w:val="0"/>
      <w:marTop w:val="0"/>
      <w:marBottom w:val="0"/>
      <w:divBdr>
        <w:top w:val="none" w:sz="0" w:space="0" w:color="auto"/>
        <w:left w:val="none" w:sz="0" w:space="0" w:color="auto"/>
        <w:bottom w:val="none" w:sz="0" w:space="0" w:color="auto"/>
        <w:right w:val="none" w:sz="0" w:space="0" w:color="auto"/>
      </w:divBdr>
    </w:div>
    <w:div w:id="863059485">
      <w:bodyDiv w:val="1"/>
      <w:marLeft w:val="0"/>
      <w:marRight w:val="0"/>
      <w:marTop w:val="0"/>
      <w:marBottom w:val="0"/>
      <w:divBdr>
        <w:top w:val="none" w:sz="0" w:space="0" w:color="auto"/>
        <w:left w:val="none" w:sz="0" w:space="0" w:color="auto"/>
        <w:bottom w:val="none" w:sz="0" w:space="0" w:color="auto"/>
        <w:right w:val="none" w:sz="0" w:space="0" w:color="auto"/>
      </w:divBdr>
    </w:div>
    <w:div w:id="934047980">
      <w:bodyDiv w:val="1"/>
      <w:marLeft w:val="0"/>
      <w:marRight w:val="0"/>
      <w:marTop w:val="0"/>
      <w:marBottom w:val="0"/>
      <w:divBdr>
        <w:top w:val="none" w:sz="0" w:space="0" w:color="auto"/>
        <w:left w:val="none" w:sz="0" w:space="0" w:color="auto"/>
        <w:bottom w:val="none" w:sz="0" w:space="0" w:color="auto"/>
        <w:right w:val="none" w:sz="0" w:space="0" w:color="auto"/>
      </w:divBdr>
    </w:div>
    <w:div w:id="954100382">
      <w:bodyDiv w:val="1"/>
      <w:marLeft w:val="0"/>
      <w:marRight w:val="0"/>
      <w:marTop w:val="0"/>
      <w:marBottom w:val="0"/>
      <w:divBdr>
        <w:top w:val="none" w:sz="0" w:space="0" w:color="auto"/>
        <w:left w:val="none" w:sz="0" w:space="0" w:color="auto"/>
        <w:bottom w:val="none" w:sz="0" w:space="0" w:color="auto"/>
        <w:right w:val="none" w:sz="0" w:space="0" w:color="auto"/>
      </w:divBdr>
    </w:div>
    <w:div w:id="967318866">
      <w:bodyDiv w:val="1"/>
      <w:marLeft w:val="0"/>
      <w:marRight w:val="0"/>
      <w:marTop w:val="0"/>
      <w:marBottom w:val="0"/>
      <w:divBdr>
        <w:top w:val="none" w:sz="0" w:space="0" w:color="auto"/>
        <w:left w:val="none" w:sz="0" w:space="0" w:color="auto"/>
        <w:bottom w:val="none" w:sz="0" w:space="0" w:color="auto"/>
        <w:right w:val="none" w:sz="0" w:space="0" w:color="auto"/>
      </w:divBdr>
    </w:div>
    <w:div w:id="997883890">
      <w:bodyDiv w:val="1"/>
      <w:marLeft w:val="0"/>
      <w:marRight w:val="0"/>
      <w:marTop w:val="0"/>
      <w:marBottom w:val="0"/>
      <w:divBdr>
        <w:top w:val="none" w:sz="0" w:space="0" w:color="auto"/>
        <w:left w:val="none" w:sz="0" w:space="0" w:color="auto"/>
        <w:bottom w:val="none" w:sz="0" w:space="0" w:color="auto"/>
        <w:right w:val="none" w:sz="0" w:space="0" w:color="auto"/>
      </w:divBdr>
    </w:div>
    <w:div w:id="1120683213">
      <w:bodyDiv w:val="1"/>
      <w:marLeft w:val="0"/>
      <w:marRight w:val="0"/>
      <w:marTop w:val="0"/>
      <w:marBottom w:val="0"/>
      <w:divBdr>
        <w:top w:val="none" w:sz="0" w:space="0" w:color="auto"/>
        <w:left w:val="none" w:sz="0" w:space="0" w:color="auto"/>
        <w:bottom w:val="none" w:sz="0" w:space="0" w:color="auto"/>
        <w:right w:val="none" w:sz="0" w:space="0" w:color="auto"/>
      </w:divBdr>
    </w:div>
    <w:div w:id="1130703849">
      <w:bodyDiv w:val="1"/>
      <w:marLeft w:val="0"/>
      <w:marRight w:val="0"/>
      <w:marTop w:val="0"/>
      <w:marBottom w:val="0"/>
      <w:divBdr>
        <w:top w:val="none" w:sz="0" w:space="0" w:color="auto"/>
        <w:left w:val="none" w:sz="0" w:space="0" w:color="auto"/>
        <w:bottom w:val="none" w:sz="0" w:space="0" w:color="auto"/>
        <w:right w:val="none" w:sz="0" w:space="0" w:color="auto"/>
      </w:divBdr>
    </w:div>
    <w:div w:id="1135872418">
      <w:bodyDiv w:val="1"/>
      <w:marLeft w:val="0"/>
      <w:marRight w:val="0"/>
      <w:marTop w:val="0"/>
      <w:marBottom w:val="0"/>
      <w:divBdr>
        <w:top w:val="none" w:sz="0" w:space="0" w:color="auto"/>
        <w:left w:val="none" w:sz="0" w:space="0" w:color="auto"/>
        <w:bottom w:val="none" w:sz="0" w:space="0" w:color="auto"/>
        <w:right w:val="none" w:sz="0" w:space="0" w:color="auto"/>
      </w:divBdr>
    </w:div>
    <w:div w:id="1311443609">
      <w:bodyDiv w:val="1"/>
      <w:marLeft w:val="0"/>
      <w:marRight w:val="0"/>
      <w:marTop w:val="0"/>
      <w:marBottom w:val="0"/>
      <w:divBdr>
        <w:top w:val="none" w:sz="0" w:space="0" w:color="auto"/>
        <w:left w:val="none" w:sz="0" w:space="0" w:color="auto"/>
        <w:bottom w:val="none" w:sz="0" w:space="0" w:color="auto"/>
        <w:right w:val="none" w:sz="0" w:space="0" w:color="auto"/>
      </w:divBdr>
    </w:div>
    <w:div w:id="1322008546">
      <w:bodyDiv w:val="1"/>
      <w:marLeft w:val="0"/>
      <w:marRight w:val="0"/>
      <w:marTop w:val="0"/>
      <w:marBottom w:val="0"/>
      <w:divBdr>
        <w:top w:val="none" w:sz="0" w:space="0" w:color="auto"/>
        <w:left w:val="none" w:sz="0" w:space="0" w:color="auto"/>
        <w:bottom w:val="none" w:sz="0" w:space="0" w:color="auto"/>
        <w:right w:val="none" w:sz="0" w:space="0" w:color="auto"/>
      </w:divBdr>
    </w:div>
    <w:div w:id="1335957920">
      <w:bodyDiv w:val="1"/>
      <w:marLeft w:val="0"/>
      <w:marRight w:val="0"/>
      <w:marTop w:val="0"/>
      <w:marBottom w:val="0"/>
      <w:divBdr>
        <w:top w:val="none" w:sz="0" w:space="0" w:color="auto"/>
        <w:left w:val="none" w:sz="0" w:space="0" w:color="auto"/>
        <w:bottom w:val="none" w:sz="0" w:space="0" w:color="auto"/>
        <w:right w:val="none" w:sz="0" w:space="0" w:color="auto"/>
      </w:divBdr>
    </w:div>
    <w:div w:id="1357853515">
      <w:bodyDiv w:val="1"/>
      <w:marLeft w:val="0"/>
      <w:marRight w:val="0"/>
      <w:marTop w:val="0"/>
      <w:marBottom w:val="0"/>
      <w:divBdr>
        <w:top w:val="none" w:sz="0" w:space="0" w:color="auto"/>
        <w:left w:val="none" w:sz="0" w:space="0" w:color="auto"/>
        <w:bottom w:val="none" w:sz="0" w:space="0" w:color="auto"/>
        <w:right w:val="none" w:sz="0" w:space="0" w:color="auto"/>
      </w:divBdr>
      <w:divsChild>
        <w:div w:id="2029863873">
          <w:marLeft w:val="0"/>
          <w:marRight w:val="0"/>
          <w:marTop w:val="0"/>
          <w:marBottom w:val="0"/>
          <w:divBdr>
            <w:top w:val="single" w:sz="2" w:space="1" w:color="FFFFFF"/>
            <w:left w:val="single" w:sz="2" w:space="0" w:color="FFFFFF"/>
            <w:bottom w:val="single" w:sz="2" w:space="2" w:color="FFFFFF"/>
            <w:right w:val="single" w:sz="2" w:space="4" w:color="FFFFFF"/>
          </w:divBdr>
        </w:div>
        <w:div w:id="613562824">
          <w:marLeft w:val="0"/>
          <w:marRight w:val="0"/>
          <w:marTop w:val="0"/>
          <w:marBottom w:val="0"/>
          <w:divBdr>
            <w:top w:val="single" w:sz="2" w:space="1" w:color="FFFFFF"/>
            <w:left w:val="single" w:sz="2" w:space="0" w:color="FFFFFF"/>
            <w:bottom w:val="single" w:sz="2" w:space="2" w:color="FFFFFF"/>
            <w:right w:val="single" w:sz="2" w:space="4" w:color="FFFFFF"/>
          </w:divBdr>
        </w:div>
      </w:divsChild>
    </w:div>
    <w:div w:id="1482036314">
      <w:bodyDiv w:val="1"/>
      <w:marLeft w:val="0"/>
      <w:marRight w:val="0"/>
      <w:marTop w:val="0"/>
      <w:marBottom w:val="0"/>
      <w:divBdr>
        <w:top w:val="none" w:sz="0" w:space="0" w:color="auto"/>
        <w:left w:val="none" w:sz="0" w:space="0" w:color="auto"/>
        <w:bottom w:val="none" w:sz="0" w:space="0" w:color="auto"/>
        <w:right w:val="none" w:sz="0" w:space="0" w:color="auto"/>
      </w:divBdr>
    </w:div>
    <w:div w:id="1627269906">
      <w:bodyDiv w:val="1"/>
      <w:marLeft w:val="0"/>
      <w:marRight w:val="0"/>
      <w:marTop w:val="0"/>
      <w:marBottom w:val="0"/>
      <w:divBdr>
        <w:top w:val="none" w:sz="0" w:space="0" w:color="auto"/>
        <w:left w:val="none" w:sz="0" w:space="0" w:color="auto"/>
        <w:bottom w:val="none" w:sz="0" w:space="0" w:color="auto"/>
        <w:right w:val="none" w:sz="0" w:space="0" w:color="auto"/>
      </w:divBdr>
    </w:div>
    <w:div w:id="1736396263">
      <w:bodyDiv w:val="1"/>
      <w:marLeft w:val="0"/>
      <w:marRight w:val="0"/>
      <w:marTop w:val="0"/>
      <w:marBottom w:val="0"/>
      <w:divBdr>
        <w:top w:val="none" w:sz="0" w:space="0" w:color="auto"/>
        <w:left w:val="none" w:sz="0" w:space="0" w:color="auto"/>
        <w:bottom w:val="none" w:sz="0" w:space="0" w:color="auto"/>
        <w:right w:val="none" w:sz="0" w:space="0" w:color="auto"/>
      </w:divBdr>
    </w:div>
    <w:div w:id="1821072865">
      <w:bodyDiv w:val="1"/>
      <w:marLeft w:val="0"/>
      <w:marRight w:val="0"/>
      <w:marTop w:val="0"/>
      <w:marBottom w:val="0"/>
      <w:divBdr>
        <w:top w:val="none" w:sz="0" w:space="0" w:color="auto"/>
        <w:left w:val="none" w:sz="0" w:space="0" w:color="auto"/>
        <w:bottom w:val="none" w:sz="0" w:space="0" w:color="auto"/>
        <w:right w:val="none" w:sz="0" w:space="0" w:color="auto"/>
      </w:divBdr>
    </w:div>
    <w:div w:id="1831215806">
      <w:bodyDiv w:val="1"/>
      <w:marLeft w:val="0"/>
      <w:marRight w:val="0"/>
      <w:marTop w:val="0"/>
      <w:marBottom w:val="0"/>
      <w:divBdr>
        <w:top w:val="none" w:sz="0" w:space="0" w:color="auto"/>
        <w:left w:val="none" w:sz="0" w:space="0" w:color="auto"/>
        <w:bottom w:val="none" w:sz="0" w:space="0" w:color="auto"/>
        <w:right w:val="none" w:sz="0" w:space="0" w:color="auto"/>
      </w:divBdr>
    </w:div>
    <w:div w:id="20817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Clare Gornall</cp:lastModifiedBy>
  <cp:revision>22</cp:revision>
  <dcterms:created xsi:type="dcterms:W3CDTF">2021-04-15T14:04:00Z</dcterms:created>
  <dcterms:modified xsi:type="dcterms:W3CDTF">2021-04-19T10:21:00Z</dcterms:modified>
</cp:coreProperties>
</file>